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C93A3" w14:textId="31ED74D3" w:rsidR="00A81625" w:rsidRDefault="00000000" w:rsidP="00F53CBD">
      <w:pPr>
        <w:pStyle w:val="Judul1"/>
      </w:pPr>
      <w:r>
        <w:t>AUTHOR GUIDELINES — TA'SHIL | Cendekia Journal of Islamic Studies</w:t>
      </w:r>
    </w:p>
    <w:p w14:paraId="2076731B" w14:textId="77777777" w:rsidR="00F53CBD" w:rsidRPr="00F53CBD" w:rsidRDefault="00F53CBD" w:rsidP="00F53CBD"/>
    <w:p w14:paraId="1B08A9B6" w14:textId="77777777" w:rsidR="00A81625" w:rsidRDefault="00000000">
      <w:r>
        <w:rPr>
          <w:i/>
        </w:rPr>
        <w:t>TA'SHIL: Cendekia Journal of Islamic Studies</w:t>
      </w:r>
      <w:r>
        <w:t xml:space="preserve"> (CJIS) menerbitkan kajian Islam yang berpijak pada dalil Al-Qur'an dan Sunnah serta khazanah ulama. Jurnal ini terbit </w:t>
      </w:r>
      <w:r>
        <w:rPr>
          <w:b/>
        </w:rPr>
        <w:t>6 kali setahun</w:t>
      </w:r>
      <w:r>
        <w:t xml:space="preserve"> (Januari, Maret, Mei, Juli, September, November) dan dikelola oleh Cendekia Journal Hub di bawah penerbit Santri Cendekiawan Academic Press.</w:t>
      </w:r>
    </w:p>
    <w:p w14:paraId="36636842" w14:textId="77777777" w:rsidR="00A81625" w:rsidRDefault="00000000">
      <w:pPr>
        <w:pStyle w:val="Judul2"/>
      </w:pPr>
      <w:r>
        <w:t>Fokus dan ruang lingkup</w:t>
      </w:r>
    </w:p>
    <w:p w14:paraId="1EA38E36" w14:textId="77777777" w:rsidR="00A81625" w:rsidRDefault="00000000">
      <w:pPr>
        <w:pStyle w:val="DaftarParagraf"/>
        <w:numPr>
          <w:ilvl w:val="0"/>
          <w:numId w:val="2"/>
        </w:numPr>
      </w:pPr>
      <w:r>
        <w:t>Tafsir dan 'Ulum al-Qur'an</w:t>
      </w:r>
    </w:p>
    <w:p w14:paraId="0393661E" w14:textId="77777777" w:rsidR="00A81625" w:rsidRDefault="00000000">
      <w:pPr>
        <w:pStyle w:val="DaftarParagraf"/>
        <w:numPr>
          <w:ilvl w:val="0"/>
          <w:numId w:val="2"/>
        </w:numPr>
      </w:pPr>
      <w:proofErr w:type="gramStart"/>
      <w:r>
        <w:t>Hadis</w:t>
      </w:r>
      <w:proofErr w:type="gramEnd"/>
      <w:r>
        <w:t xml:space="preserve"> dan 'Ulum al-Hadis, termasuk takhrij dan kritik hadis</w:t>
      </w:r>
    </w:p>
    <w:p w14:paraId="48C13EBA" w14:textId="77777777" w:rsidR="00A81625" w:rsidRDefault="00000000">
      <w:pPr>
        <w:pStyle w:val="DaftarParagraf"/>
        <w:numPr>
          <w:ilvl w:val="0"/>
          <w:numId w:val="2"/>
        </w:numPr>
      </w:pPr>
      <w:r>
        <w:t>Akidah dan pemikiran Islam</w:t>
      </w:r>
    </w:p>
    <w:p w14:paraId="38903765" w14:textId="77777777" w:rsidR="00A81625" w:rsidRDefault="00000000">
      <w:pPr>
        <w:pStyle w:val="DaftarParagraf"/>
        <w:numPr>
          <w:ilvl w:val="0"/>
          <w:numId w:val="2"/>
        </w:numPr>
      </w:pPr>
      <w:r>
        <w:t>Fiqh dan ushul fiqh</w:t>
      </w:r>
    </w:p>
    <w:p w14:paraId="0FA9DEA8" w14:textId="77777777" w:rsidR="00A81625" w:rsidRDefault="00000000">
      <w:pPr>
        <w:pStyle w:val="DaftarParagraf"/>
        <w:numPr>
          <w:ilvl w:val="0"/>
          <w:numId w:val="2"/>
        </w:numPr>
      </w:pPr>
      <w:r>
        <w:t>Sirah, sejarah, dan peradaban Islam</w:t>
      </w:r>
    </w:p>
    <w:p w14:paraId="02CF9905" w14:textId="77777777" w:rsidR="00A81625" w:rsidRDefault="00000000">
      <w:pPr>
        <w:pStyle w:val="DaftarParagraf"/>
        <w:numPr>
          <w:ilvl w:val="0"/>
          <w:numId w:val="2"/>
        </w:numPr>
      </w:pPr>
      <w:r>
        <w:t>Kajian Islam kontemporer berbasis dalil</w:t>
      </w:r>
    </w:p>
    <w:p w14:paraId="712DFAF4" w14:textId="77777777" w:rsidR="00A81625" w:rsidRDefault="00000000">
      <w:r>
        <w:t>Naskah tentang pendidikan Islam, manajemen pendidikan, bahasa Arab, psikologi, kesehatan, ekonomi, dan komunikasi diarahkan ke jurnal CJH lain yang sesuai.</w:t>
      </w:r>
    </w:p>
    <w:p w14:paraId="0C014DF2" w14:textId="77777777" w:rsidR="00A81625" w:rsidRDefault="00000000">
      <w:r>
        <w:rPr>
          <w:b/>
        </w:rPr>
        <w:t>Jenis naskah yang diterima:</w:t>
      </w:r>
    </w:p>
    <w:tbl>
      <w:tblPr>
        <w:tblStyle w:val="KisiTabel"/>
        <w:tblW w:w="0" w:type="auto"/>
        <w:tblLayout w:type="fixed"/>
        <w:tblLook w:val="0420" w:firstRow="1" w:lastRow="0" w:firstColumn="0" w:lastColumn="0" w:noHBand="0" w:noVBand="1"/>
      </w:tblPr>
      <w:tblGrid>
        <w:gridCol w:w="3432"/>
        <w:gridCol w:w="5927"/>
      </w:tblGrid>
      <w:tr w:rsidR="00A81625" w14:paraId="5400E792" w14:textId="77777777">
        <w:trPr>
          <w:tblHeader/>
        </w:trPr>
        <w:tc>
          <w:tcPr>
            <w:tcW w:w="3432" w:type="dxa"/>
            <w:shd w:val="clear" w:color="auto" w:fill="F2F2F2"/>
          </w:tcPr>
          <w:p w14:paraId="2917E54D" w14:textId="77777777" w:rsidR="00A81625" w:rsidRDefault="00000000">
            <w:r>
              <w:t>Jenis</w:t>
            </w:r>
          </w:p>
        </w:tc>
        <w:tc>
          <w:tcPr>
            <w:tcW w:w="5927" w:type="dxa"/>
            <w:shd w:val="clear" w:color="auto" w:fill="F2F2F2"/>
          </w:tcPr>
          <w:p w14:paraId="14C49125" w14:textId="77777777" w:rsidR="00A81625" w:rsidRDefault="00000000">
            <w:r>
              <w:t>Keterangan</w:t>
            </w:r>
          </w:p>
        </w:tc>
      </w:tr>
      <w:tr w:rsidR="00A81625" w14:paraId="69E8436D" w14:textId="77777777">
        <w:tc>
          <w:tcPr>
            <w:tcW w:w="3432" w:type="dxa"/>
          </w:tcPr>
          <w:p w14:paraId="41C0AF8B" w14:textId="77777777" w:rsidR="00A81625" w:rsidRDefault="00000000">
            <w:r>
              <w:t>Artikel hasil penelitian</w:t>
            </w:r>
          </w:p>
        </w:tc>
        <w:tc>
          <w:tcPr>
            <w:tcW w:w="5927" w:type="dxa"/>
          </w:tcPr>
          <w:p w14:paraId="181B49BB" w14:textId="77777777" w:rsidR="00A81625" w:rsidRDefault="00000000">
            <w:r>
              <w:t>Penelitian pustaka (</w:t>
            </w:r>
            <w:r>
              <w:rPr>
                <w:i/>
              </w:rPr>
              <w:t>library research</w:t>
            </w:r>
            <w:r>
              <w:t>), historis, atau lapangan</w:t>
            </w:r>
          </w:p>
        </w:tc>
      </w:tr>
      <w:tr w:rsidR="00A81625" w14:paraId="11FC793D" w14:textId="77777777">
        <w:tc>
          <w:tcPr>
            <w:tcW w:w="3432" w:type="dxa"/>
          </w:tcPr>
          <w:p w14:paraId="0E6FAB28" w14:textId="77777777" w:rsidR="00A81625" w:rsidRDefault="00000000">
            <w:r>
              <w:t>Artikel kajian konseptual</w:t>
            </w:r>
          </w:p>
        </w:tc>
        <w:tc>
          <w:tcPr>
            <w:tcW w:w="5927" w:type="dxa"/>
          </w:tcPr>
          <w:p w14:paraId="6D05C8FD" w14:textId="77777777" w:rsidR="00A81625" w:rsidRDefault="00000000">
            <w:r>
              <w:t>Telaah tematik atas suatu masalah dengan analisis dalil yang utuh</w:t>
            </w:r>
          </w:p>
        </w:tc>
      </w:tr>
      <w:tr w:rsidR="00A81625" w14:paraId="737824BC" w14:textId="77777777">
        <w:tc>
          <w:tcPr>
            <w:tcW w:w="3432" w:type="dxa"/>
          </w:tcPr>
          <w:p w14:paraId="1DC3DF38" w14:textId="77777777" w:rsidR="00A81625" w:rsidRDefault="00000000">
            <w:r>
              <w:t>Telaah kitab</w:t>
            </w:r>
          </w:p>
        </w:tc>
        <w:tc>
          <w:tcPr>
            <w:tcW w:w="5927" w:type="dxa"/>
          </w:tcPr>
          <w:p w14:paraId="7E573ACF" w14:textId="77777777" w:rsidR="00A81625" w:rsidRDefault="00000000">
            <w:r>
              <w:t>Kajian atas satu kitab turats atau karya ulama: isi, metode, dan kontribusinya</w:t>
            </w:r>
          </w:p>
        </w:tc>
      </w:tr>
    </w:tbl>
    <w:p w14:paraId="63264525" w14:textId="77777777" w:rsidR="00A81625" w:rsidRDefault="00000000">
      <w:pPr>
        <w:pStyle w:val="Judul2"/>
      </w:pPr>
      <w:r>
        <w:t>Ketentuan umum naskah</w:t>
      </w:r>
    </w:p>
    <w:tbl>
      <w:tblPr>
        <w:tblStyle w:val="KisiTabel"/>
        <w:tblW w:w="0" w:type="auto"/>
        <w:tblLayout w:type="fixed"/>
        <w:tblLook w:val="0420" w:firstRow="1" w:lastRow="0" w:firstColumn="0" w:lastColumn="0" w:noHBand="0" w:noVBand="1"/>
      </w:tblPr>
      <w:tblGrid>
        <w:gridCol w:w="2145"/>
        <w:gridCol w:w="7214"/>
      </w:tblGrid>
      <w:tr w:rsidR="00A81625" w14:paraId="0C925491" w14:textId="77777777">
        <w:trPr>
          <w:tblHeader/>
        </w:trPr>
        <w:tc>
          <w:tcPr>
            <w:tcW w:w="2145" w:type="dxa"/>
            <w:shd w:val="clear" w:color="auto" w:fill="F2F2F2"/>
          </w:tcPr>
          <w:p w14:paraId="4E37783A" w14:textId="77777777" w:rsidR="00A81625" w:rsidRDefault="00000000">
            <w:r>
              <w:t>Ketentuan</w:t>
            </w:r>
          </w:p>
        </w:tc>
        <w:tc>
          <w:tcPr>
            <w:tcW w:w="7214" w:type="dxa"/>
            <w:shd w:val="clear" w:color="auto" w:fill="F2F2F2"/>
          </w:tcPr>
          <w:p w14:paraId="410C3677" w14:textId="77777777" w:rsidR="00A81625" w:rsidRDefault="00000000">
            <w:r>
              <w:t>Rincian</w:t>
            </w:r>
          </w:p>
        </w:tc>
      </w:tr>
      <w:tr w:rsidR="00A81625" w14:paraId="08E4213B" w14:textId="77777777">
        <w:tc>
          <w:tcPr>
            <w:tcW w:w="2145" w:type="dxa"/>
          </w:tcPr>
          <w:p w14:paraId="64C2F047" w14:textId="77777777" w:rsidR="00A81625" w:rsidRDefault="00000000">
            <w:r>
              <w:t>Bahasa</w:t>
            </w:r>
          </w:p>
        </w:tc>
        <w:tc>
          <w:tcPr>
            <w:tcW w:w="7214" w:type="dxa"/>
          </w:tcPr>
          <w:p w14:paraId="2588B713" w14:textId="77777777" w:rsidR="00A81625" w:rsidRDefault="00000000">
            <w:r>
              <w:t>Indonesia, Inggris, atau Arab</w:t>
            </w:r>
          </w:p>
        </w:tc>
      </w:tr>
      <w:tr w:rsidR="00A81625" w14:paraId="3B303E73" w14:textId="77777777">
        <w:tc>
          <w:tcPr>
            <w:tcW w:w="2145" w:type="dxa"/>
          </w:tcPr>
          <w:p w14:paraId="32DB994B" w14:textId="77777777" w:rsidR="00A81625" w:rsidRDefault="00000000">
            <w:r>
              <w:t>Panjang</w:t>
            </w:r>
          </w:p>
        </w:tc>
        <w:tc>
          <w:tcPr>
            <w:tcW w:w="7214" w:type="dxa"/>
          </w:tcPr>
          <w:p w14:paraId="2D94A950" w14:textId="77777777" w:rsidR="00A81625" w:rsidRDefault="00000000">
            <w:r>
              <w:t>5.000–8.000 kata termasuk catatan kaki, tidak termasuk daftar pustaka</w:t>
            </w:r>
          </w:p>
        </w:tc>
      </w:tr>
      <w:tr w:rsidR="00A81625" w14:paraId="50728601" w14:textId="77777777">
        <w:tc>
          <w:tcPr>
            <w:tcW w:w="2145" w:type="dxa"/>
          </w:tcPr>
          <w:p w14:paraId="44D89A31" w14:textId="77777777" w:rsidR="00A81625" w:rsidRDefault="00000000">
            <w:r>
              <w:t>Format</w:t>
            </w:r>
          </w:p>
        </w:tc>
        <w:tc>
          <w:tcPr>
            <w:tcW w:w="7214" w:type="dxa"/>
          </w:tcPr>
          <w:p w14:paraId="44A03087" w14:textId="77777777" w:rsidR="00A81625" w:rsidRDefault="00000000">
            <w:r>
              <w:t>Memakai template TA'SHIL (.docx), A4, margin 2,5 cm, Times New Roman 12 pt, spasi 1,5. Teks Arab memakai Traditional Arabic 16 pt</w:t>
            </w:r>
          </w:p>
        </w:tc>
      </w:tr>
      <w:tr w:rsidR="00A81625" w14:paraId="2FF9170F" w14:textId="77777777">
        <w:tc>
          <w:tcPr>
            <w:tcW w:w="2145" w:type="dxa"/>
          </w:tcPr>
          <w:p w14:paraId="548BC1D5" w14:textId="77777777" w:rsidR="00A81625" w:rsidRDefault="00000000">
            <w:r>
              <w:t>Orisinalitas</w:t>
            </w:r>
          </w:p>
        </w:tc>
        <w:tc>
          <w:tcPr>
            <w:tcW w:w="7214" w:type="dxa"/>
          </w:tcPr>
          <w:p w14:paraId="1097F0AF" w14:textId="77777777" w:rsidR="00A81625" w:rsidRDefault="00000000">
            <w:r>
              <w:t>Belum pernah diterbitkan dan tidak sedang dikirim ke jurnal lain</w:t>
            </w:r>
          </w:p>
        </w:tc>
      </w:tr>
      <w:tr w:rsidR="00A81625" w14:paraId="6A9AE4A2" w14:textId="77777777">
        <w:tc>
          <w:tcPr>
            <w:tcW w:w="2145" w:type="dxa"/>
          </w:tcPr>
          <w:p w14:paraId="01F657BF" w14:textId="77777777" w:rsidR="00A81625" w:rsidRDefault="00000000">
            <w:r>
              <w:t>Similarity</w:t>
            </w:r>
          </w:p>
        </w:tc>
        <w:tc>
          <w:tcPr>
            <w:tcW w:w="7214" w:type="dxa"/>
          </w:tcPr>
          <w:p w14:paraId="6290DDD3" w14:textId="77777777" w:rsidR="00A81625" w:rsidRDefault="00000000">
            <w:r>
              <w:t>Maksimal 20% (Turnitin), di luar kutipan ayat, hadis, dan daftar pustaka</w:t>
            </w:r>
          </w:p>
        </w:tc>
      </w:tr>
      <w:tr w:rsidR="00A81625" w14:paraId="7E775E97" w14:textId="77777777">
        <w:tc>
          <w:tcPr>
            <w:tcW w:w="2145" w:type="dxa"/>
          </w:tcPr>
          <w:p w14:paraId="53420ACB" w14:textId="77777777" w:rsidR="00A81625" w:rsidRDefault="00000000">
            <w:r>
              <w:lastRenderedPageBreak/>
              <w:t>Rujukan</w:t>
            </w:r>
          </w:p>
        </w:tc>
        <w:tc>
          <w:tcPr>
            <w:tcW w:w="7214" w:type="dxa"/>
          </w:tcPr>
          <w:p w14:paraId="27A4F5D3" w14:textId="77777777" w:rsidR="00A81625" w:rsidRDefault="00000000">
            <w:r>
              <w:t>Minimal 20 rujukan. Utamakan sumber primer (Al-Qur'an, kitab hadis, kitab turats) dan sertakan minimal 8 artikel jurnal 10 tahun terakhir</w:t>
            </w:r>
          </w:p>
        </w:tc>
      </w:tr>
      <w:tr w:rsidR="00A81625" w14:paraId="10457224" w14:textId="77777777">
        <w:tc>
          <w:tcPr>
            <w:tcW w:w="2145" w:type="dxa"/>
          </w:tcPr>
          <w:p w14:paraId="4474B6E0" w14:textId="77777777" w:rsidR="00A81625" w:rsidRDefault="00000000">
            <w:r>
              <w:t>Penulis</w:t>
            </w:r>
          </w:p>
        </w:tc>
        <w:tc>
          <w:tcPr>
            <w:tcW w:w="7214" w:type="dxa"/>
          </w:tcPr>
          <w:p>
            <w:r>
              <w:t>Maksimal 4 penulis. Nama, afiliasi, email, dan ORCID dicantumkan pada naskah sesuai template dan diisi lengkap pada metadata OJS.</w:t>
            </w:r>
          </w:p>
        </w:tc>
      </w:tr>
      <w:tr w:rsidR="00A81625" w14:paraId="0B31A579" w14:textId="77777777">
        <w:tc>
          <w:tcPr>
            <w:tcW w:w="2145" w:type="dxa"/>
          </w:tcPr>
          <w:p w14:paraId="533894FC" w14:textId="77777777" w:rsidR="00A81625" w:rsidRDefault="00000000">
            <w:r>
              <w:t>AI generatif</w:t>
            </w:r>
          </w:p>
        </w:tc>
        <w:tc>
          <w:tcPr>
            <w:tcW w:w="7214" w:type="dxa"/>
          </w:tcPr>
          <w:p w14:paraId="3CB87372" w14:textId="77777777" w:rsidR="00A81625" w:rsidRDefault="00000000">
            <w:r>
              <w:t xml:space="preserve">Wajib diungkapkan di bagian </w:t>
            </w:r>
            <w:r>
              <w:rPr>
                <w:i/>
              </w:rPr>
              <w:t>Use of Generative AI</w:t>
            </w:r>
            <w:r>
              <w:t>. AI tidak boleh menjadi sumber teks ayat, hadis, atau terjemahannya; semuanya wajib diverifikasi ke mushaf dan kitab asli</w:t>
            </w:r>
          </w:p>
        </w:tc>
      </w:tr>
    </w:tbl>
    <w:p w14:paraId="0AA5CA42" w14:textId="77777777" w:rsidR="00A81625" w:rsidRDefault="00000000">
      <w:pPr>
        <w:pStyle w:val="Judul2"/>
      </w:pPr>
      <w:r>
        <w:t>Struktur artikel</w:t>
      </w:r>
    </w:p>
    <w:p w14:paraId="154CFB67" w14:textId="77777777" w:rsidR="00A81625" w:rsidRDefault="00000000">
      <w:r>
        <w:t>Urutan bagian mengikuti template TA'SHIL. Hasil dan pembahasan digabung karena sebagian besar kajian Islam bersifat analisis teks.</w:t>
      </w:r>
    </w:p>
    <w:p w14:paraId="45556573" w14:textId="77777777" w:rsidR="00A81625" w:rsidRDefault="00000000">
      <w:pPr>
        <w:pStyle w:val="DaftarParagraf"/>
        <w:numPr>
          <w:ilvl w:val="0"/>
          <w:numId w:val="3"/>
        </w:numPr>
      </w:pPr>
      <w:r>
        <w:rPr>
          <w:b/>
        </w:rPr>
        <w:t>Judul</w:t>
      </w:r>
      <w:r>
        <w:t>, maksimal 20 kata, menggambarkan fokus kajian.</w:t>
      </w:r>
    </w:p>
    <w:p w14:paraId="7821CE1B" w14:textId="77777777" w:rsidR="00A81625" w:rsidRDefault="00000000">
      <w:pPr>
        <w:pStyle w:val="DaftarParagraf"/>
        <w:numPr>
          <w:ilvl w:val="0"/>
          <w:numId w:val="3"/>
        </w:numPr>
      </w:pPr>
      <w:r>
        <w:rPr>
          <w:b/>
        </w:rPr>
        <w:t>Abstract</w:t>
      </w:r>
      <w:r>
        <w:t xml:space="preserve"> (Inggris) dan </w:t>
      </w:r>
      <w:r>
        <w:rPr>
          <w:b/>
        </w:rPr>
        <w:t>Abstrak</w:t>
      </w:r>
      <w:r>
        <w:t xml:space="preserve"> (Indonesia), masing-masing 150–250 kata: tujuan, metode, temuan utama, dan simpulan. Artikel berbahasa Arab menambahkan </w:t>
      </w:r>
      <w:r>
        <w:rPr>
          <w:b/>
        </w:rPr>
        <w:t>مستخلص</w:t>
      </w:r>
      <w:r>
        <w:t>.</w:t>
      </w:r>
    </w:p>
    <w:p w14:paraId="43ECE023" w14:textId="77777777" w:rsidR="00A81625" w:rsidRDefault="00000000">
      <w:pPr>
        <w:pStyle w:val="DaftarParagraf"/>
        <w:numPr>
          <w:ilvl w:val="0"/>
          <w:numId w:val="3"/>
        </w:numPr>
      </w:pPr>
      <w:r>
        <w:rPr>
          <w:b/>
        </w:rPr>
        <w:t>Keywords/Kata Kunci</w:t>
      </w:r>
      <w:r>
        <w:t>, 3–5 istilah dipisahkan titik koma.</w:t>
      </w:r>
    </w:p>
    <w:p w14:paraId="715F8224" w14:textId="77777777" w:rsidR="00A81625" w:rsidRDefault="00000000">
      <w:pPr>
        <w:pStyle w:val="DaftarParagraf"/>
        <w:numPr>
          <w:ilvl w:val="0"/>
          <w:numId w:val="3"/>
        </w:numPr>
      </w:pPr>
      <w:r>
        <w:rPr>
          <w:b/>
        </w:rPr>
        <w:t>Introduction</w:t>
      </w:r>
      <w:r>
        <w:t xml:space="preserve"> (Pendahuluan): latar masalah, kajian terdahulu, celah kajian (</w:t>
      </w:r>
      <w:r>
        <w:rPr>
          <w:i/>
        </w:rPr>
        <w:t>research gap</w:t>
      </w:r>
      <w:r>
        <w:t>), dan tujuan.</w:t>
      </w:r>
    </w:p>
    <w:p w14:paraId="7810A0B3" w14:textId="77777777" w:rsidR="00A81625" w:rsidRDefault="00000000">
      <w:pPr>
        <w:pStyle w:val="DaftarParagraf"/>
        <w:numPr>
          <w:ilvl w:val="0"/>
          <w:numId w:val="3"/>
        </w:numPr>
      </w:pPr>
      <w:r>
        <w:rPr>
          <w:b/>
        </w:rPr>
        <w:t>Methods</w:t>
      </w:r>
      <w:r>
        <w:t xml:space="preserve"> (Metode): pendekatan kajian, sumber primer dan sekunder beserta edisinya, serta teknik analisis, misalnya tafsir tematik (</w:t>
      </w:r>
      <w:r>
        <w:rPr>
          <w:i/>
        </w:rPr>
        <w:t>maudhu'i</w:t>
      </w:r>
      <w:r>
        <w:t>), takhrij dan kritik hadis, istinbath ushul fiqh, analisis historis, atau analisis isi.</w:t>
      </w:r>
    </w:p>
    <w:p w14:paraId="30F1FC86" w14:textId="77777777" w:rsidR="00A81625" w:rsidRDefault="00000000">
      <w:pPr>
        <w:pStyle w:val="DaftarParagraf"/>
        <w:numPr>
          <w:ilvl w:val="0"/>
          <w:numId w:val="3"/>
        </w:numPr>
      </w:pPr>
      <w:r>
        <w:rPr>
          <w:b/>
        </w:rPr>
        <w:t>Results and Discussion</w:t>
      </w:r>
      <w:r>
        <w:t xml:space="preserve"> (Hasil dan Pembahasan): uraian temuan per subbagian, analisis dalil, dan perbandingan dengan pendapat ulama serta kajian terdahulu.</w:t>
      </w:r>
    </w:p>
    <w:p w14:paraId="4E716025" w14:textId="77777777" w:rsidR="00A81625" w:rsidRDefault="00000000">
      <w:pPr>
        <w:pStyle w:val="DaftarParagraf"/>
        <w:numPr>
          <w:ilvl w:val="0"/>
          <w:numId w:val="3"/>
        </w:numPr>
      </w:pPr>
      <w:r>
        <w:rPr>
          <w:b/>
        </w:rPr>
        <w:t>Conclusion</w:t>
      </w:r>
      <w:r>
        <w:t xml:space="preserve"> (Kesimpulan): jawaban atas tujuan kajian tanpa data baru.</w:t>
      </w:r>
    </w:p>
    <w:p w14:paraId="6E823F82" w14:textId="77777777" w:rsidR="00A81625" w:rsidRDefault="00000000">
      <w:pPr>
        <w:pStyle w:val="DaftarParagraf"/>
        <w:numPr>
          <w:ilvl w:val="0"/>
          <w:numId w:val="3"/>
        </w:numPr>
      </w:pPr>
      <w:r>
        <w:rPr>
          <w:b/>
        </w:rPr>
        <w:t>Pernyataan</w:t>
      </w:r>
      <w:r>
        <w:t xml:space="preserve">: </w:t>
      </w:r>
      <w:r>
        <w:rPr>
          <w:i/>
        </w:rPr>
        <w:t>Conflict of Interest</w:t>
      </w:r>
      <w:r>
        <w:t xml:space="preserve">, </w:t>
      </w:r>
      <w:r>
        <w:rPr>
          <w:i/>
        </w:rPr>
        <w:t>Author Contributions</w:t>
      </w:r>
      <w:r>
        <w:t xml:space="preserve">, </w:t>
      </w:r>
      <w:r>
        <w:rPr>
          <w:i/>
        </w:rPr>
        <w:t>Funding</w:t>
      </w:r>
      <w:r>
        <w:t xml:space="preserve">, dan </w:t>
      </w:r>
      <w:r>
        <w:rPr>
          <w:i/>
        </w:rPr>
        <w:t>Use of Generative AI</w:t>
      </w:r>
      <w:r>
        <w:t>.</w:t>
      </w:r>
    </w:p>
    <w:p w14:paraId="15CB56CA" w14:textId="77777777" w:rsidR="00A81625" w:rsidRDefault="00000000">
      <w:pPr>
        <w:pStyle w:val="DaftarParagraf"/>
        <w:numPr>
          <w:ilvl w:val="0"/>
          <w:numId w:val="3"/>
        </w:numPr>
      </w:pPr>
      <w:r>
        <w:rPr>
          <w:b/>
        </w:rPr>
        <w:t>Bibliography</w:t>
      </w:r>
      <w:r>
        <w:t xml:space="preserve"> (Daftar Pustaka).</w:t>
      </w:r>
    </w:p>
    <w:p w14:paraId="34CD40E6" w14:textId="77777777" w:rsidR="00A81625" w:rsidRDefault="00000000">
      <w:pPr>
        <w:pStyle w:val="Judul2"/>
      </w:pPr>
      <w:r>
        <w:t>Ketentuan khusus kajian Islam</w:t>
      </w:r>
    </w:p>
    <w:p w14:paraId="413F9644" w14:textId="77777777" w:rsidR="00A81625" w:rsidRDefault="00000000">
      <w:r>
        <w:rPr>
          <w:b/>
        </w:rPr>
        <w:t>Ayat Al-Qur'an.</w:t>
      </w:r>
      <w:r>
        <w:t xml:space="preserve"> Teks Arab dikutip lengkap dengan harakat dari mushaf standar (Mushaf Madinah atau Mushaf Standar Indonesia). Teks Arab diikuti terjemahan, lalu sumbernya dengan format QS. Nama Surah [nomor surah]: ayat. Edisi terjemahan yang dipakai disebut di catatan kaki pertama.</w:t>
      </w:r>
    </w:p>
    <w:p w14:paraId="3F7478F5" w14:textId="77777777" w:rsidR="00A81625" w:rsidRDefault="00000000">
      <w:pPr>
        <w:pStyle w:val="Kutipan"/>
        <w:bidi/>
      </w:pPr>
      <w:r>
        <w:rPr>
          <w:rtl/>
        </w:rPr>
        <w:t>أَلَا بِذِكْرِ اللَّهِ تَطْمَئِنُّ الْقُلُوبُ</w:t>
      </w:r>
    </w:p>
    <w:p w14:paraId="72512911" w14:textId="77777777" w:rsidR="00A81625" w:rsidRDefault="00000000">
      <w:pPr>
        <w:pStyle w:val="Kutipan"/>
      </w:pPr>
      <w:r>
        <w:t>“Ingatlah, hanya dengan mengingat Allah hati menjadi tenteram.” (QS. Ar-Ra'd [13]: 28)</w:t>
      </w:r>
    </w:p>
    <w:p w14:paraId="2EA157C1" w14:textId="77777777" w:rsidR="00A81625" w:rsidRDefault="00000000">
      <w:r>
        <w:rPr>
          <w:b/>
        </w:rPr>
        <w:t>Hadis.</w:t>
      </w:r>
      <w:r>
        <w:t xml:space="preserve"> Matan Arab ditulis berharakat dan diikuti terjemahan. Sanad boleh diringkas pada sahabat perawi. Setiap hadis wajib ditakhrij di catatan kaki: mukharrij, judul kitab, edisi, jilid dan halaman, nomor hadis, serta derajat hadis dengan menyebut ulama yang menilainya.</w:t>
      </w:r>
    </w:p>
    <w:p w14:paraId="7EB05436" w14:textId="77777777" w:rsidR="00A81625" w:rsidRDefault="00000000">
      <w:pPr>
        <w:pStyle w:val="DaftarParagraf"/>
        <w:numPr>
          <w:ilvl w:val="0"/>
          <w:numId w:val="4"/>
        </w:numPr>
      </w:pPr>
      <w:r>
        <w:t>Hanya hadis sahih dan hasan yang dijadikan hujjah.</w:t>
      </w:r>
    </w:p>
    <w:p w14:paraId="4D9B984C" w14:textId="77777777" w:rsidR="00A81625" w:rsidRDefault="00000000">
      <w:pPr>
        <w:pStyle w:val="DaftarParagraf"/>
        <w:numPr>
          <w:ilvl w:val="0"/>
          <w:numId w:val="4"/>
        </w:numPr>
      </w:pPr>
      <w:r>
        <w:t>Hadis daif yang dibahas wajib disebut derajatnya dan tidak dijadikan dasar hukum.</w:t>
      </w:r>
    </w:p>
    <w:p w14:paraId="652E7F0A" w14:textId="77777777" w:rsidR="00A81625" w:rsidRDefault="00000000">
      <w:pPr>
        <w:pStyle w:val="DaftarParagraf"/>
        <w:numPr>
          <w:ilvl w:val="0"/>
          <w:numId w:val="4"/>
        </w:numPr>
      </w:pPr>
      <w:r>
        <w:lastRenderedPageBreak/>
        <w:t xml:space="preserve">Contoh takhrij di catatan kaki: Muḥammad ibn </w:t>
      </w:r>
      <w:proofErr w:type="gramStart"/>
      <w:r>
        <w:t>Ismā‘</w:t>
      </w:r>
      <w:proofErr w:type="gramEnd"/>
      <w:r>
        <w:t xml:space="preserve">īl al-Bukhārī, </w:t>
      </w:r>
      <w:r>
        <w:rPr>
          <w:i/>
        </w:rPr>
        <w:t>Ṣaḥīḥ al-Bukhārī</w:t>
      </w:r>
      <w:r>
        <w:t>, ed. Muḥammad Zuhair ibn Nāṣir al-Nāṣir (Beirut: Dār Ṭauq al-Najāh, 1422 H), 1:6, no. 1.</w:t>
      </w:r>
    </w:p>
    <w:p w14:paraId="43CC7DE5" w14:textId="77777777" w:rsidR="00A81625" w:rsidRDefault="00000000">
      <w:r>
        <w:rPr>
          <w:b/>
        </w:rPr>
        <w:t>Rujukan kitab turats.</w:t>
      </w:r>
      <w:r>
        <w:t xml:space="preserve"> Sebutkan edisi cetak yang dipakai: pentahqiq, penerbit, kota, tahun, jilid, dan halaman. Maktabah Syamilah boleh dipakai untuk penelusuran, tetapi rujukan tetap mengacu ke edisi cetaknya.</w:t>
      </w:r>
    </w:p>
    <w:p w14:paraId="17069D2D" w14:textId="77777777" w:rsidR="00A81625" w:rsidRDefault="00000000">
      <w:r>
        <w:rPr>
          <w:b/>
        </w:rPr>
        <w:t>Transliterasi.</w:t>
      </w:r>
      <w:r>
        <w:t xml:space="preserve"> Gunakan Pedoman Transliterasi </w:t>
      </w:r>
      <w:proofErr w:type="gramStart"/>
      <w:r>
        <w:t>Arab-Latin</w:t>
      </w:r>
      <w:proofErr w:type="gramEnd"/>
      <w:r>
        <w:t xml:space="preserve"> Keputusan Bersama Menteri Agama dan Menteri Pendidikan dan Kebudayaan RI No. 158/1987 dan No. 0543b/U/1987. Istilah yang sudah baku dalam KBBI ditulis sesuai KBBI, misalnya Al-Qur'an, hadis, salat, dan fikih.</w:t>
      </w:r>
    </w:p>
    <w:tbl>
      <w:tblPr>
        <w:tblStyle w:val="KisiTabel"/>
        <w:tblW w:w="0" w:type="auto"/>
        <w:tblLayout w:type="fixed"/>
        <w:tblLook w:val="0420" w:firstRow="1" w:lastRow="0" w:firstColumn="0" w:lastColumn="0" w:noHBand="0" w:noVBand="1"/>
      </w:tblPr>
      <w:tblGrid>
        <w:gridCol w:w="1560"/>
        <w:gridCol w:w="1560"/>
        <w:gridCol w:w="1560"/>
        <w:gridCol w:w="1560"/>
        <w:gridCol w:w="1560"/>
        <w:gridCol w:w="1560"/>
      </w:tblGrid>
      <w:tr w:rsidR="00A81625" w14:paraId="609419FE" w14:textId="77777777">
        <w:trPr>
          <w:tblHeader/>
        </w:trPr>
        <w:tc>
          <w:tcPr>
            <w:tcW w:w="1560" w:type="dxa"/>
            <w:shd w:val="clear" w:color="auto" w:fill="F2F2F2"/>
          </w:tcPr>
          <w:p w14:paraId="73C878CC" w14:textId="77777777" w:rsidR="00A81625" w:rsidRDefault="00000000">
            <w:r>
              <w:t>Huruf</w:t>
            </w:r>
          </w:p>
        </w:tc>
        <w:tc>
          <w:tcPr>
            <w:tcW w:w="1560" w:type="dxa"/>
            <w:shd w:val="clear" w:color="auto" w:fill="F2F2F2"/>
          </w:tcPr>
          <w:p w14:paraId="6CCF25D0" w14:textId="77777777" w:rsidR="00A81625" w:rsidRDefault="00000000">
            <w:r>
              <w:t>Latin</w:t>
            </w:r>
          </w:p>
        </w:tc>
        <w:tc>
          <w:tcPr>
            <w:tcW w:w="1560" w:type="dxa"/>
            <w:shd w:val="clear" w:color="auto" w:fill="F2F2F2"/>
          </w:tcPr>
          <w:p w14:paraId="61EA9891" w14:textId="77777777" w:rsidR="00A81625" w:rsidRDefault="00000000">
            <w:r>
              <w:t>Huruf</w:t>
            </w:r>
          </w:p>
        </w:tc>
        <w:tc>
          <w:tcPr>
            <w:tcW w:w="1560" w:type="dxa"/>
            <w:shd w:val="clear" w:color="auto" w:fill="F2F2F2"/>
          </w:tcPr>
          <w:p w14:paraId="7FEBE430" w14:textId="77777777" w:rsidR="00A81625" w:rsidRDefault="00000000">
            <w:r>
              <w:t>Latin</w:t>
            </w:r>
          </w:p>
        </w:tc>
        <w:tc>
          <w:tcPr>
            <w:tcW w:w="1560" w:type="dxa"/>
            <w:shd w:val="clear" w:color="auto" w:fill="F2F2F2"/>
          </w:tcPr>
          <w:p w14:paraId="179E0CC3" w14:textId="77777777" w:rsidR="00A81625" w:rsidRDefault="00000000">
            <w:r>
              <w:t>Huruf</w:t>
            </w:r>
          </w:p>
        </w:tc>
        <w:tc>
          <w:tcPr>
            <w:tcW w:w="1560" w:type="dxa"/>
            <w:shd w:val="clear" w:color="auto" w:fill="F2F2F2"/>
          </w:tcPr>
          <w:p w14:paraId="255C4A1E" w14:textId="77777777" w:rsidR="00A81625" w:rsidRDefault="00000000">
            <w:r>
              <w:t>Latin</w:t>
            </w:r>
          </w:p>
        </w:tc>
      </w:tr>
      <w:tr w:rsidR="00A81625" w14:paraId="05F72284" w14:textId="77777777">
        <w:tc>
          <w:tcPr>
            <w:tcW w:w="1560" w:type="dxa"/>
          </w:tcPr>
          <w:p w14:paraId="2CB60ED9" w14:textId="77777777" w:rsidR="00A81625" w:rsidRDefault="00000000">
            <w:pPr>
              <w:bidi/>
            </w:pPr>
            <w:r>
              <w:rPr>
                <w:rtl/>
              </w:rPr>
              <w:t>ث</w:t>
            </w:r>
          </w:p>
        </w:tc>
        <w:tc>
          <w:tcPr>
            <w:tcW w:w="1560" w:type="dxa"/>
          </w:tcPr>
          <w:p w14:paraId="5F64720C" w14:textId="77777777" w:rsidR="00A81625" w:rsidRDefault="00000000">
            <w:r>
              <w:t>ṡ</w:t>
            </w:r>
          </w:p>
        </w:tc>
        <w:tc>
          <w:tcPr>
            <w:tcW w:w="1560" w:type="dxa"/>
          </w:tcPr>
          <w:p w14:paraId="2B7820AF" w14:textId="77777777" w:rsidR="00A81625" w:rsidRDefault="00000000">
            <w:pPr>
              <w:bidi/>
            </w:pPr>
            <w:r>
              <w:rPr>
                <w:rtl/>
              </w:rPr>
              <w:t>ذ</w:t>
            </w:r>
          </w:p>
        </w:tc>
        <w:tc>
          <w:tcPr>
            <w:tcW w:w="1560" w:type="dxa"/>
          </w:tcPr>
          <w:p w14:paraId="3A8AA9C0" w14:textId="77777777" w:rsidR="00A81625" w:rsidRDefault="00000000">
            <w:r>
              <w:t>ż</w:t>
            </w:r>
          </w:p>
        </w:tc>
        <w:tc>
          <w:tcPr>
            <w:tcW w:w="1560" w:type="dxa"/>
          </w:tcPr>
          <w:p w14:paraId="749EEBDC" w14:textId="77777777" w:rsidR="00A81625" w:rsidRDefault="00000000">
            <w:pPr>
              <w:bidi/>
            </w:pPr>
            <w:r>
              <w:rPr>
                <w:rtl/>
              </w:rPr>
              <w:t>ض</w:t>
            </w:r>
          </w:p>
        </w:tc>
        <w:tc>
          <w:tcPr>
            <w:tcW w:w="1560" w:type="dxa"/>
          </w:tcPr>
          <w:p w14:paraId="0FCB5135" w14:textId="77777777" w:rsidR="00A81625" w:rsidRDefault="00000000">
            <w:r>
              <w:t>ḍ</w:t>
            </w:r>
          </w:p>
        </w:tc>
      </w:tr>
      <w:tr w:rsidR="00A81625" w14:paraId="1A857CE4" w14:textId="77777777">
        <w:tc>
          <w:tcPr>
            <w:tcW w:w="1560" w:type="dxa"/>
          </w:tcPr>
          <w:p w14:paraId="74F3E7A2" w14:textId="77777777" w:rsidR="00A81625" w:rsidRDefault="00000000">
            <w:pPr>
              <w:bidi/>
            </w:pPr>
            <w:r>
              <w:rPr>
                <w:rtl/>
              </w:rPr>
              <w:t>ح</w:t>
            </w:r>
          </w:p>
        </w:tc>
        <w:tc>
          <w:tcPr>
            <w:tcW w:w="1560" w:type="dxa"/>
          </w:tcPr>
          <w:p w14:paraId="4C0A2F35" w14:textId="77777777" w:rsidR="00A81625" w:rsidRDefault="00000000">
            <w:r>
              <w:t>ḥ</w:t>
            </w:r>
          </w:p>
        </w:tc>
        <w:tc>
          <w:tcPr>
            <w:tcW w:w="1560" w:type="dxa"/>
          </w:tcPr>
          <w:p w14:paraId="3DC1D9BF" w14:textId="77777777" w:rsidR="00A81625" w:rsidRDefault="00000000">
            <w:pPr>
              <w:bidi/>
            </w:pPr>
            <w:r>
              <w:rPr>
                <w:rtl/>
              </w:rPr>
              <w:t>ش</w:t>
            </w:r>
          </w:p>
        </w:tc>
        <w:tc>
          <w:tcPr>
            <w:tcW w:w="1560" w:type="dxa"/>
          </w:tcPr>
          <w:p w14:paraId="50CB57E4" w14:textId="77777777" w:rsidR="00A81625" w:rsidRDefault="00000000">
            <w:r>
              <w:t>sy</w:t>
            </w:r>
          </w:p>
        </w:tc>
        <w:tc>
          <w:tcPr>
            <w:tcW w:w="1560" w:type="dxa"/>
          </w:tcPr>
          <w:p w14:paraId="23F7A810" w14:textId="77777777" w:rsidR="00A81625" w:rsidRDefault="00000000">
            <w:pPr>
              <w:bidi/>
            </w:pPr>
            <w:r>
              <w:rPr>
                <w:rtl/>
              </w:rPr>
              <w:t>ط</w:t>
            </w:r>
          </w:p>
        </w:tc>
        <w:tc>
          <w:tcPr>
            <w:tcW w:w="1560" w:type="dxa"/>
          </w:tcPr>
          <w:p w14:paraId="6EF7264E" w14:textId="77777777" w:rsidR="00A81625" w:rsidRDefault="00000000">
            <w:r>
              <w:t>ṭ</w:t>
            </w:r>
          </w:p>
        </w:tc>
      </w:tr>
      <w:tr w:rsidR="00A81625" w14:paraId="1FAEE872" w14:textId="77777777">
        <w:tc>
          <w:tcPr>
            <w:tcW w:w="1560" w:type="dxa"/>
          </w:tcPr>
          <w:p w14:paraId="0E1508BA" w14:textId="77777777" w:rsidR="00A81625" w:rsidRDefault="00000000">
            <w:pPr>
              <w:bidi/>
            </w:pPr>
            <w:r>
              <w:rPr>
                <w:rtl/>
              </w:rPr>
              <w:t>خ</w:t>
            </w:r>
          </w:p>
        </w:tc>
        <w:tc>
          <w:tcPr>
            <w:tcW w:w="1560" w:type="dxa"/>
          </w:tcPr>
          <w:p w14:paraId="57FC8F80" w14:textId="77777777" w:rsidR="00A81625" w:rsidRDefault="00000000">
            <w:r>
              <w:t>kh</w:t>
            </w:r>
          </w:p>
        </w:tc>
        <w:tc>
          <w:tcPr>
            <w:tcW w:w="1560" w:type="dxa"/>
          </w:tcPr>
          <w:p w14:paraId="0F1A09BB" w14:textId="77777777" w:rsidR="00A81625" w:rsidRDefault="00000000">
            <w:pPr>
              <w:bidi/>
            </w:pPr>
            <w:r>
              <w:rPr>
                <w:rtl/>
              </w:rPr>
              <w:t>ص</w:t>
            </w:r>
          </w:p>
        </w:tc>
        <w:tc>
          <w:tcPr>
            <w:tcW w:w="1560" w:type="dxa"/>
          </w:tcPr>
          <w:p w14:paraId="74F3F172" w14:textId="77777777" w:rsidR="00A81625" w:rsidRDefault="00000000">
            <w:r>
              <w:t>ṣ</w:t>
            </w:r>
          </w:p>
        </w:tc>
        <w:tc>
          <w:tcPr>
            <w:tcW w:w="1560" w:type="dxa"/>
          </w:tcPr>
          <w:p w14:paraId="4D828A30" w14:textId="77777777" w:rsidR="00A81625" w:rsidRDefault="00000000">
            <w:pPr>
              <w:bidi/>
            </w:pPr>
            <w:r>
              <w:rPr>
                <w:rtl/>
              </w:rPr>
              <w:t>ظ</w:t>
            </w:r>
          </w:p>
        </w:tc>
        <w:tc>
          <w:tcPr>
            <w:tcW w:w="1560" w:type="dxa"/>
          </w:tcPr>
          <w:p w14:paraId="23FC434F" w14:textId="77777777" w:rsidR="00A81625" w:rsidRDefault="00000000">
            <w:r>
              <w:t>ẓ</w:t>
            </w:r>
          </w:p>
        </w:tc>
      </w:tr>
      <w:tr w:rsidR="00A81625" w14:paraId="2A825ED8" w14:textId="77777777">
        <w:tc>
          <w:tcPr>
            <w:tcW w:w="1560" w:type="dxa"/>
          </w:tcPr>
          <w:p w14:paraId="1418207A" w14:textId="77777777" w:rsidR="00A81625" w:rsidRDefault="00000000">
            <w:pPr>
              <w:bidi/>
            </w:pPr>
            <w:r>
              <w:rPr>
                <w:rtl/>
              </w:rPr>
              <w:t>ع</w:t>
            </w:r>
          </w:p>
        </w:tc>
        <w:tc>
          <w:tcPr>
            <w:tcW w:w="1560" w:type="dxa"/>
          </w:tcPr>
          <w:p w14:paraId="7CA2B199" w14:textId="77777777" w:rsidR="00A81625" w:rsidRDefault="00000000">
            <w:r>
              <w:t>‘</w:t>
            </w:r>
          </w:p>
        </w:tc>
        <w:tc>
          <w:tcPr>
            <w:tcW w:w="1560" w:type="dxa"/>
          </w:tcPr>
          <w:p w14:paraId="08842D27" w14:textId="77777777" w:rsidR="00A81625" w:rsidRDefault="00000000">
            <w:pPr>
              <w:bidi/>
            </w:pPr>
            <w:r>
              <w:rPr>
                <w:rtl/>
              </w:rPr>
              <w:t>غ</w:t>
            </w:r>
          </w:p>
        </w:tc>
        <w:tc>
          <w:tcPr>
            <w:tcW w:w="1560" w:type="dxa"/>
          </w:tcPr>
          <w:p w14:paraId="51C4DA4E" w14:textId="77777777" w:rsidR="00A81625" w:rsidRDefault="00000000">
            <w:r>
              <w:t>g</w:t>
            </w:r>
          </w:p>
        </w:tc>
        <w:tc>
          <w:tcPr>
            <w:tcW w:w="1560" w:type="dxa"/>
          </w:tcPr>
          <w:p w14:paraId="07F7B177" w14:textId="77777777" w:rsidR="00A81625" w:rsidRDefault="00000000">
            <w:pPr>
              <w:bidi/>
            </w:pPr>
            <w:r>
              <w:rPr>
                <w:rtl/>
              </w:rPr>
              <w:t>ء</w:t>
            </w:r>
          </w:p>
        </w:tc>
        <w:tc>
          <w:tcPr>
            <w:tcW w:w="1560" w:type="dxa"/>
          </w:tcPr>
          <w:p w14:paraId="445FCE83" w14:textId="77777777" w:rsidR="00A81625" w:rsidRDefault="00000000">
            <w:r>
              <w:t>'</w:t>
            </w:r>
          </w:p>
        </w:tc>
      </w:tr>
    </w:tbl>
    <w:p w14:paraId="667D437B" w14:textId="77777777" w:rsidR="00A81625" w:rsidRDefault="00000000">
      <w:r>
        <w:t>Vokal panjang ditulis ā, ī, ū. Ta marbutah di akhir kata ditulis h. Kata sandang ال ditulis al- dengan huruf kecil, kecuali di awal kalimat.</w:t>
      </w:r>
    </w:p>
    <w:p w14:paraId="6E92BCAB" w14:textId="77777777" w:rsidR="00A81625" w:rsidRDefault="00000000">
      <w:pPr>
        <w:pStyle w:val="Judul2"/>
      </w:pPr>
      <w:r>
        <w:t>Sitasi dan daftar pustaka</w:t>
      </w:r>
    </w:p>
    <w:p w14:paraId="0E5CD70C" w14:textId="77777777" w:rsidR="00A81625" w:rsidRDefault="00000000">
      <w:r>
        <w:t xml:space="preserve">TA'SHIL memakai </w:t>
      </w:r>
      <w:r>
        <w:rPr>
          <w:b/>
        </w:rPr>
        <w:t>Chicago Manual of Style edisi ke-17, model catatan kaki</w:t>
      </w:r>
      <w:r>
        <w:t xml:space="preserve"> (</w:t>
      </w:r>
      <w:r>
        <w:rPr>
          <w:i/>
        </w:rPr>
        <w:t>notes and bibliography</w:t>
      </w:r>
      <w:r>
        <w:t xml:space="preserve">), bukan sitasi dalam kurung. Penulis wajib memakai Zotero atau Mendeley dengan gaya </w:t>
      </w:r>
      <w:r>
        <w:rPr>
          <w:i/>
        </w:rPr>
        <w:t>Chicago Manual of Style 17th edition (full note)</w:t>
      </w:r>
      <w:r>
        <w:t>.</w:t>
      </w:r>
    </w:p>
    <w:p w14:paraId="1AB2A2A1" w14:textId="77777777" w:rsidR="00A81625" w:rsidRDefault="00000000">
      <w:pPr>
        <w:pStyle w:val="DaftarParagraf"/>
        <w:numPr>
          <w:ilvl w:val="0"/>
          <w:numId w:val="5"/>
        </w:numPr>
      </w:pPr>
      <w:r>
        <w:t>Rujukan pertama ditulis lengkap di catatan kaki. Rujukan berikutnya memakai catatan singkat (nama belakang, judul singkat, halaman); Ibid. tidak dipakai.</w:t>
      </w:r>
    </w:p>
    <w:p w14:paraId="5215C7F7" w14:textId="77777777" w:rsidR="00A81625" w:rsidRDefault="00000000">
      <w:pPr>
        <w:pStyle w:val="DaftarParagraf"/>
        <w:numPr>
          <w:ilvl w:val="0"/>
          <w:numId w:val="5"/>
        </w:numPr>
      </w:pPr>
      <w:r>
        <w:t>Daftar pustaka hanya memuat sumber yang dikutip, disusun alfabetis menurut nama belakang atau nama masyhur pengarang (misalnya Ibn Kaṡīr, al-Bukhārī). Al- diabaikan dalam pengurutan.</w:t>
      </w:r>
    </w:p>
    <w:p w14:paraId="28A52187" w14:textId="77777777" w:rsidR="00A81625" w:rsidRDefault="00000000">
      <w:pPr>
        <w:pStyle w:val="DaftarParagraf"/>
        <w:numPr>
          <w:ilvl w:val="0"/>
          <w:numId w:val="5"/>
        </w:numPr>
      </w:pPr>
      <w:r>
        <w:t>Sertakan DOI atau URL bila ada.</w:t>
      </w:r>
    </w:p>
    <w:tbl>
      <w:tblPr>
        <w:tblStyle w:val="KisiTabel"/>
        <w:tblW w:w="0" w:type="auto"/>
        <w:tblLayout w:type="fixed"/>
        <w:tblLook w:val="0420" w:firstRow="1" w:lastRow="0" w:firstColumn="0" w:lastColumn="0" w:noHBand="0" w:noVBand="1"/>
      </w:tblPr>
      <w:tblGrid>
        <w:gridCol w:w="1621"/>
        <w:gridCol w:w="3468"/>
        <w:gridCol w:w="4271"/>
      </w:tblGrid>
      <w:tr w:rsidR="00A81625" w14:paraId="5EAE1735" w14:textId="77777777">
        <w:trPr>
          <w:tblHeader/>
        </w:trPr>
        <w:tc>
          <w:tcPr>
            <w:tcW w:w="1621" w:type="dxa"/>
            <w:shd w:val="clear" w:color="auto" w:fill="F2F2F2"/>
          </w:tcPr>
          <w:p w14:paraId="620406DE" w14:textId="77777777" w:rsidR="00A81625" w:rsidRDefault="00000000">
            <w:r>
              <w:t>Jenis</w:t>
            </w:r>
          </w:p>
        </w:tc>
        <w:tc>
          <w:tcPr>
            <w:tcW w:w="3468" w:type="dxa"/>
            <w:shd w:val="clear" w:color="auto" w:fill="F2F2F2"/>
          </w:tcPr>
          <w:p w14:paraId="4F884FC9" w14:textId="77777777" w:rsidR="00A81625" w:rsidRDefault="00000000">
            <w:r>
              <w:t>Catatan kaki</w:t>
            </w:r>
          </w:p>
        </w:tc>
        <w:tc>
          <w:tcPr>
            <w:tcW w:w="4271" w:type="dxa"/>
            <w:shd w:val="clear" w:color="auto" w:fill="F2F2F2"/>
          </w:tcPr>
          <w:p w14:paraId="3B69A364" w14:textId="77777777" w:rsidR="00A81625" w:rsidRDefault="00000000">
            <w:r>
              <w:t>Daftar pustaka</w:t>
            </w:r>
          </w:p>
        </w:tc>
      </w:tr>
      <w:tr w:rsidR="00A81625" w14:paraId="2ECA1740" w14:textId="77777777">
        <w:tc>
          <w:tcPr>
            <w:tcW w:w="1621" w:type="dxa"/>
          </w:tcPr>
          <w:p w14:paraId="57BD2AF6" w14:textId="77777777" w:rsidR="00A81625" w:rsidRDefault="00000000">
            <w:r>
              <w:t>Kitab turats</w:t>
            </w:r>
          </w:p>
        </w:tc>
        <w:tc>
          <w:tcPr>
            <w:tcW w:w="3468" w:type="dxa"/>
          </w:tcPr>
          <w:p w14:paraId="0F260FFD" w14:textId="77777777" w:rsidR="00A81625" w:rsidRDefault="00000000">
            <w:proofErr w:type="gramStart"/>
            <w:r>
              <w:t>Ismā‘</w:t>
            </w:r>
            <w:proofErr w:type="gramEnd"/>
            <w:r>
              <w:t xml:space="preserve">īl ibn ‘Umar ibn Kaṡīr, </w:t>
            </w:r>
            <w:r>
              <w:rPr>
                <w:i/>
              </w:rPr>
              <w:t>Tafsīr al-Qur'ān al</w:t>
            </w:r>
            <w:proofErr w:type="gramStart"/>
            <w:r>
              <w:rPr>
                <w:i/>
              </w:rPr>
              <w:t>-‘</w:t>
            </w:r>
            <w:proofErr w:type="gramEnd"/>
            <w:r>
              <w:rPr>
                <w:i/>
              </w:rPr>
              <w:t>Aẓīm</w:t>
            </w:r>
            <w:r>
              <w:t>, ed. Sāmī ibn Muḥammad al-Salāmah (Riyadh: Dār Ṭaibah, 1999), 4:455.</w:t>
            </w:r>
          </w:p>
        </w:tc>
        <w:tc>
          <w:tcPr>
            <w:tcW w:w="4271" w:type="dxa"/>
          </w:tcPr>
          <w:p w14:paraId="4240109C" w14:textId="77777777" w:rsidR="00A81625" w:rsidRDefault="00000000">
            <w:r>
              <w:t xml:space="preserve">Ibn Kaṡīr, </w:t>
            </w:r>
            <w:proofErr w:type="gramStart"/>
            <w:r>
              <w:t>Ismā‘</w:t>
            </w:r>
            <w:proofErr w:type="gramEnd"/>
            <w:r>
              <w:t xml:space="preserve">īl ibn ‘Umar. </w:t>
            </w:r>
            <w:r>
              <w:rPr>
                <w:i/>
              </w:rPr>
              <w:t>Tafsīr al-Qur'ān al</w:t>
            </w:r>
            <w:proofErr w:type="gramStart"/>
            <w:r>
              <w:rPr>
                <w:i/>
              </w:rPr>
              <w:t>-‘</w:t>
            </w:r>
            <w:proofErr w:type="gramEnd"/>
            <w:r>
              <w:rPr>
                <w:i/>
              </w:rPr>
              <w:t>Aẓīm</w:t>
            </w:r>
            <w:r>
              <w:t>. Diedit oleh Sāmī ibn Muḥammad al-Salāmah. Riyadh: Dār Ṭaibah, 1999.</w:t>
            </w:r>
          </w:p>
        </w:tc>
      </w:tr>
      <w:tr w:rsidR="00A81625" w14:paraId="5E309D60" w14:textId="77777777">
        <w:tc>
          <w:tcPr>
            <w:tcW w:w="1621" w:type="dxa"/>
          </w:tcPr>
          <w:p w14:paraId="19EABF47" w14:textId="77777777" w:rsidR="00A81625" w:rsidRDefault="00000000">
            <w:r>
              <w:t>Kitab hadis</w:t>
            </w:r>
          </w:p>
        </w:tc>
        <w:tc>
          <w:tcPr>
            <w:tcW w:w="3468" w:type="dxa"/>
          </w:tcPr>
          <w:p w14:paraId="5DB8D624" w14:textId="77777777" w:rsidR="00A81625" w:rsidRDefault="00000000">
            <w:r>
              <w:t xml:space="preserve">al-Bukhārī, </w:t>
            </w:r>
            <w:r>
              <w:rPr>
                <w:i/>
              </w:rPr>
              <w:t>Ṣaḥīḥ al-Bukhārī</w:t>
            </w:r>
            <w:r>
              <w:t>, 1:6, no. 1. (catatan singkat)</w:t>
            </w:r>
          </w:p>
        </w:tc>
        <w:tc>
          <w:tcPr>
            <w:tcW w:w="4271" w:type="dxa"/>
          </w:tcPr>
          <w:p w14:paraId="16FC0AA2" w14:textId="77777777" w:rsidR="00A81625" w:rsidRDefault="00000000">
            <w:r>
              <w:t xml:space="preserve">al-Bukhārī, Muḥammad ibn </w:t>
            </w:r>
            <w:proofErr w:type="gramStart"/>
            <w:r>
              <w:t>Ismā‘</w:t>
            </w:r>
            <w:proofErr w:type="gramEnd"/>
            <w:r>
              <w:t xml:space="preserve">īl. </w:t>
            </w:r>
            <w:r>
              <w:rPr>
                <w:i/>
              </w:rPr>
              <w:t>Ṣaḥīḥ al-Bukhārī</w:t>
            </w:r>
            <w:r>
              <w:t>. Diedit oleh Muḥammad Zuhair ibn Nāṣir al-Nāṣir. Beirut: Dār Ṭauq al-Najāh, 1422 H.</w:t>
            </w:r>
          </w:p>
        </w:tc>
      </w:tr>
      <w:tr w:rsidR="00A81625" w14:paraId="06358298" w14:textId="77777777">
        <w:tc>
          <w:tcPr>
            <w:tcW w:w="1621" w:type="dxa"/>
          </w:tcPr>
          <w:p w14:paraId="0A125261" w14:textId="77777777" w:rsidR="00A81625" w:rsidRDefault="00000000">
            <w:r>
              <w:t>Artikel jurnal</w:t>
            </w:r>
          </w:p>
        </w:tc>
        <w:tc>
          <w:tcPr>
            <w:tcW w:w="3468" w:type="dxa"/>
          </w:tcPr>
          <w:p w14:paraId="7BEF194B" w14:textId="77777777" w:rsidR="00A81625" w:rsidRDefault="00000000">
            <w:r>
              <w:t xml:space="preserve">Nama Penulis, “Judul Artikel,” </w:t>
            </w:r>
            <w:r>
              <w:rPr>
                <w:i/>
              </w:rPr>
              <w:t>Nama Jurnal</w:t>
            </w:r>
            <w:r>
              <w:t xml:space="preserve"> 12, no. 2 (2024): 115–</w:t>
            </w:r>
            <w:r>
              <w:lastRenderedPageBreak/>
              <w:t>30, https://doi.org/xxxx.</w:t>
            </w:r>
          </w:p>
        </w:tc>
        <w:tc>
          <w:tcPr>
            <w:tcW w:w="4271" w:type="dxa"/>
          </w:tcPr>
          <w:p w14:paraId="1EAA4C15" w14:textId="77777777" w:rsidR="00A81625" w:rsidRDefault="00000000">
            <w:r>
              <w:lastRenderedPageBreak/>
              <w:t xml:space="preserve">Penulis, Nama. “Judul Artikel.” </w:t>
            </w:r>
            <w:r>
              <w:rPr>
                <w:i/>
              </w:rPr>
              <w:t>Nama Jurnal</w:t>
            </w:r>
            <w:r>
              <w:t xml:space="preserve"> 12, no. 2 (2024): 115–30. </w:t>
            </w:r>
            <w:r>
              <w:lastRenderedPageBreak/>
              <w:t>https://doi.org/xxxx.</w:t>
            </w:r>
          </w:p>
        </w:tc>
      </w:tr>
      <w:tr w:rsidR="00A81625" w14:paraId="160E352A" w14:textId="77777777">
        <w:tc>
          <w:tcPr>
            <w:tcW w:w="1621" w:type="dxa"/>
          </w:tcPr>
          <w:p w14:paraId="4DDFC734" w14:textId="77777777" w:rsidR="00A81625" w:rsidRDefault="00000000">
            <w:r>
              <w:lastRenderedPageBreak/>
              <w:t>Buku modern</w:t>
            </w:r>
          </w:p>
        </w:tc>
        <w:tc>
          <w:tcPr>
            <w:tcW w:w="3468" w:type="dxa"/>
          </w:tcPr>
          <w:p w14:paraId="1CE9E265" w14:textId="77777777" w:rsidR="00A81625" w:rsidRDefault="00000000">
            <w:r>
              <w:t xml:space="preserve">Nama Penulis, </w:t>
            </w:r>
            <w:r>
              <w:rPr>
                <w:i/>
              </w:rPr>
              <w:t>Judul Buku</w:t>
            </w:r>
            <w:r>
              <w:t xml:space="preserve"> (Kota: Penerbit, 2023), 45.</w:t>
            </w:r>
          </w:p>
        </w:tc>
        <w:tc>
          <w:tcPr>
            <w:tcW w:w="4271" w:type="dxa"/>
          </w:tcPr>
          <w:p w14:paraId="539F01A0" w14:textId="77777777" w:rsidR="00A81625" w:rsidRDefault="00000000">
            <w:r>
              <w:t xml:space="preserve">Penulis, Nama. </w:t>
            </w:r>
            <w:r>
              <w:rPr>
                <w:i/>
              </w:rPr>
              <w:t>Judul Buku</w:t>
            </w:r>
            <w:r>
              <w:t>. Kota: Penerbit, 2023.</w:t>
            </w:r>
          </w:p>
        </w:tc>
      </w:tr>
    </w:tbl>
    <w:p w14:paraId="3A1A3E29" w14:textId="77777777" w:rsidR="00A81625" w:rsidRDefault="00000000">
      <w:r>
        <w:t>Contoh di atas menunjukkan format saja; nomor jilid dan halaman disesuaikan dengan edisi yang benar-benar dirujuk.</w:t>
      </w:r>
    </w:p>
    <w:p w14:paraId="1BCF83B0" w14:textId="77777777" w:rsidR="00A81625" w:rsidRDefault="00000000">
      <w:pPr>
        <w:pStyle w:val="Judul2"/>
      </w:pPr>
      <w:r>
        <w:t>Pengiriman, review, biaya, dan hak cipta</w:t>
      </w:r>
    </w:p>
    <w:p w14:paraId="02FBB3C9" w14:textId="77777777" w:rsidR="00A81625" w:rsidRDefault="00000000">
      <w:r>
        <w:t>Pengiriman. Naskah dikirim lewat OJS di https://journal.cendekiajurnalhub.com/ dengan memakai template TA'SHIL. Data penulis (nama, afiliasi, email, dan ORCID) dicantumkan pada file naskah sesuai template dan diisi lengkap pada metadata OJS.</w:t>
      </w:r>
    </w:p>
    <w:p w14:paraId="0D2CC604" w14:textId="77777777" w:rsidR="00A81625" w:rsidRDefault="00000000">
      <w:r>
        <w:rPr>
          <w:b/>
        </w:rPr>
        <w:t>Alur review.</w:t>
      </w:r>
    </w:p>
    <w:p w14:paraId="09B55070" w14:textId="77777777" w:rsidR="00A81625" w:rsidRDefault="00000000">
      <w:pPr>
        <w:pStyle w:val="DaftarParagraf"/>
        <w:numPr>
          <w:ilvl w:val="0"/>
          <w:numId w:val="6"/>
        </w:numPr>
      </w:pPr>
      <w:r>
        <w:t>Editor-in-chief memeriksa kesesuaian scope, kelengkapan format, dan similarity (±1 pekan).</w:t>
      </w:r>
    </w:p>
    <w:p w14:paraId="0BDBA003" w14:textId="77777777" w:rsidR="00A81625" w:rsidRDefault="00000000">
      <w:pPr>
        <w:pStyle w:val="DaftarParagraf"/>
        <w:numPr>
          <w:ilvl w:val="0"/>
          <w:numId w:val="6"/>
        </w:numPr>
      </w:pPr>
      <w:r>
        <w:t>Naskah yang lolos dikirim ke minimal 2 reviewer untuk proses peer review (±4–6 pekan).</w:t>
      </w:r>
    </w:p>
    <w:p w14:paraId="03965AAE" w14:textId="77777777" w:rsidR="00A81625" w:rsidRDefault="00000000">
      <w:pPr>
        <w:pStyle w:val="DaftarParagraf"/>
        <w:numPr>
          <w:ilvl w:val="0"/>
          <w:numId w:val="6"/>
        </w:numPr>
      </w:pPr>
      <w:r>
        <w:t>Keputusan: diterima, revisi minor, revisi mayor, atau ditolak. Revisi dikembalikan paling lambat 2 pekan.</w:t>
      </w:r>
    </w:p>
    <w:p w14:paraId="3A216BA4" w14:textId="77777777" w:rsidR="00A81625" w:rsidRDefault="00000000">
      <w:pPr>
        <w:pStyle w:val="DaftarParagraf"/>
        <w:numPr>
          <w:ilvl w:val="0"/>
          <w:numId w:val="6"/>
        </w:numPr>
      </w:pPr>
      <w:r>
        <w:t>Naskah yang diterima disunting, di-layout, lalu dijadwalkan ke nomor terbitan terdekat yang masih tersedia.</w:t>
      </w:r>
    </w:p>
    <w:p w14:paraId="2F2B4421" w14:textId="168F3D72" w:rsidR="00A81625" w:rsidRDefault="00000000">
      <w:r>
        <w:rPr>
          <w:b/>
        </w:rPr>
        <w:t>Biaya.</w:t>
      </w:r>
      <w:r>
        <w:t xml:space="preserve"> Tidak ada biaya pengiriman dan review. Biaya publikasi (APC) dibayar setelah naskah diterima: [Rp100.000, nominal final ditetapkan redaksi].</w:t>
      </w:r>
    </w:p>
    <w:p w14:paraId="29E178DC" w14:textId="77777777" w:rsidR="00A81625" w:rsidRDefault="00000000">
      <w:r>
        <w:rPr>
          <w:b/>
        </w:rPr>
        <w:t>Hak cipta dan lisensi.</w:t>
      </w:r>
      <w:r>
        <w:t xml:space="preserve"> Penulis memegang hak cipta. Artikel terbit akses terbuka di bawah lisensi Creative Commons Attribution-ShareAlike 4.0 (CC BY-SA 4.0).</w:t>
      </w:r>
    </w:p>
    <w:p w14:paraId="49E665B7" w14:textId="77777777" w:rsidR="00A81625" w:rsidRDefault="00000000">
      <w:r>
        <w:rPr>
          <w:b/>
        </w:rPr>
        <w:t>Etika publikasi.</w:t>
      </w:r>
      <w:r>
        <w:t xml:space="preserve"> Plagiarisme, fabrikasi data, publikasi ganda, dan manipulasi sitasi menyebabkan naskah ditolak atau artikel ditarik (</w:t>
      </w:r>
      <w:r>
        <w:rPr>
          <w:i/>
        </w:rPr>
        <w:t>retraction</w:t>
      </w:r>
      <w:r>
        <w:t>).</w:t>
      </w:r>
    </w:p>
    <w:p>
      <w:r>
        <w:br w:type="page"/>
      </w:r>
    </w:p>
    <w:p>
      <w:pPr>
        <w:pStyle w:val="Judul1"/>
      </w:pPr>
      <w:r>
        <w:t>ENGLISH VERSION</w:t>
      </w:r>
    </w:p>
    <w:p>
      <w:pPr>
        <w:pStyle w:val="Judul1"/>
      </w:pPr>
      <w:r>
        <w:t>AUTHOR GUIDELINES — TA'SHIL | Cendekia Journal of Islamic Studies</w:t>
      </w:r>
    </w:p>
    <w:p>
      <w:r>
        <w:t>TA'SHIL: Cendekia Journal of Islamic Studies (CJIS) publishes Islamic studies grounded in evidence from the Qur'an and Sunnah and the scholarly heritage of Muslim scholars. The journal is published six times a year (January, March, May, July, September, and November) and is managed by Cendekia Journal Hub under Santri Cendekiawan Academic Press.</w:t>
      </w:r>
    </w:p>
    <w:p>
      <w:pPr>
        <w:pStyle w:val="Judul2"/>
      </w:pPr>
      <w:r>
        <w:t>Focus and Scope</w:t>
      </w:r>
    </w:p>
    <w:p>
      <w:pPr>
        <w:pStyle w:val="DaftarParagraf"/>
        <w:ind w:left="360" w:hanging="216"/>
      </w:pPr>
      <w:r>
        <w:rPr>
          <w:b w:val="0"/>
        </w:rPr>
        <w:t xml:space="preserve">• </w:t>
      </w:r>
      <w:r>
        <w:t>Tafsir and 'Ulum al-Qur'an.</w:t>
      </w:r>
    </w:p>
    <w:p>
      <w:pPr>
        <w:pStyle w:val="DaftarParagraf"/>
        <w:ind w:left="360" w:hanging="216"/>
      </w:pPr>
      <w:r>
        <w:rPr>
          <w:b w:val="0"/>
        </w:rPr>
        <w:t xml:space="preserve">• </w:t>
      </w:r>
      <w:r>
        <w:t>Hadith and 'Ulum al-Hadith, including takhrij and hadith criticism.</w:t>
      </w:r>
    </w:p>
    <w:p>
      <w:pPr>
        <w:pStyle w:val="DaftarParagraf"/>
        <w:ind w:left="360" w:hanging="216"/>
      </w:pPr>
      <w:r>
        <w:rPr>
          <w:b w:val="0"/>
        </w:rPr>
        <w:t xml:space="preserve">• </w:t>
      </w:r>
      <w:r>
        <w:t>Aqidah and Islamic thought.</w:t>
      </w:r>
    </w:p>
    <w:p>
      <w:pPr>
        <w:pStyle w:val="DaftarParagraf"/>
        <w:ind w:left="360" w:hanging="216"/>
      </w:pPr>
      <w:r>
        <w:rPr>
          <w:b w:val="0"/>
        </w:rPr>
        <w:t xml:space="preserve">• </w:t>
      </w:r>
      <w:r>
        <w:t>Fiqh and usul al-fiqh.</w:t>
      </w:r>
    </w:p>
    <w:p>
      <w:pPr>
        <w:pStyle w:val="DaftarParagraf"/>
        <w:ind w:left="360" w:hanging="216"/>
      </w:pPr>
      <w:r>
        <w:rPr>
          <w:b w:val="0"/>
        </w:rPr>
        <w:t xml:space="preserve">• </w:t>
      </w:r>
      <w:r>
        <w:t>Sirah, Islamic history, and civilization.</w:t>
      </w:r>
    </w:p>
    <w:p>
      <w:pPr>
        <w:pStyle w:val="DaftarParagraf"/>
        <w:ind w:left="360" w:hanging="216"/>
      </w:pPr>
      <w:r>
        <w:rPr>
          <w:b w:val="0"/>
        </w:rPr>
        <w:t xml:space="preserve">• </w:t>
      </w:r>
      <w:r>
        <w:t>Contemporary Islamic studies grounded in relevant textual evidence.</w:t>
      </w:r>
    </w:p>
    <w:p>
      <w:r>
        <w:t>Manuscripts on Islamic education, Islamic educational management, Arabic language, psychology, health, economics, or communication should be directed to another CJH journal whose scope is more appropriate.</w:t>
      </w:r>
    </w:p>
    <w:p>
      <w:pPr>
        <w:pStyle w:val="Judul2"/>
      </w:pPr>
      <w:r>
        <w:t>Types of Manuscripts Accepted</w:t>
      </w:r>
    </w:p>
    <w:tbl>
      <w:tblPr>
        <w:tblStyle w:val="KisiTabel"/>
        <w:tblW w:type="auto" w:w="0"/>
        <w:jc w:val="center"/>
        <w:tblLook w:firstColumn="1" w:firstRow="1" w:lastColumn="0" w:lastRow="0" w:noHBand="0" w:noVBand="1" w:val="04A0"/>
      </w:tblPr>
      <w:tblGrid>
        <w:gridCol w:w="4680"/>
        <w:gridCol w:w="4680"/>
      </w:tblGrid>
      <w:tr>
        <w:trPr>
          <w:tblHeader w:val="true"/>
        </w:trPr>
        <w:tc>
          <w:tcPr>
            <w:tcW w:type="dxa" w:w="4680"/>
          </w:tcPr>
          <w:p>
            <w:r/>
            <w:r>
              <w:rPr>
                <w:b/>
              </w:rPr>
              <w:t>Type</w:t>
            </w:r>
          </w:p>
        </w:tc>
        <w:tc>
          <w:tcPr>
            <w:tcW w:type="dxa" w:w="4680"/>
          </w:tcPr>
          <w:p>
            <w:r/>
            <w:r>
              <w:rPr>
                <w:b/>
              </w:rPr>
              <w:t>Description</w:t>
            </w:r>
          </w:p>
        </w:tc>
      </w:tr>
      <w:tr>
        <w:tc>
          <w:tcPr>
            <w:tcW w:type="dxa" w:w="4680"/>
          </w:tcPr>
          <w:p>
            <w:r/>
            <w:r>
              <w:rPr>
                <w:b w:val="0"/>
              </w:rPr>
              <w:t>Research article</w:t>
            </w:r>
          </w:p>
        </w:tc>
        <w:tc>
          <w:tcPr>
            <w:tcW w:type="dxa" w:w="4680"/>
          </w:tcPr>
          <w:p>
            <w:r/>
            <w:r>
              <w:rPr>
                <w:b w:val="0"/>
              </w:rPr>
              <w:t>Library research, historical research, or field research.</w:t>
            </w:r>
          </w:p>
        </w:tc>
      </w:tr>
      <w:tr>
        <w:tc>
          <w:tcPr>
            <w:tcW w:type="dxa" w:w="4680"/>
          </w:tcPr>
          <w:p>
            <w:r/>
            <w:r>
              <w:rPr>
                <w:b w:val="0"/>
              </w:rPr>
              <w:t>Conceptual article</w:t>
            </w:r>
          </w:p>
        </w:tc>
        <w:tc>
          <w:tcPr>
            <w:tcW w:type="dxa" w:w="4680"/>
          </w:tcPr>
          <w:p>
            <w:r/>
            <w:r>
              <w:rPr>
                <w:b w:val="0"/>
              </w:rPr>
              <w:t>A thematic study of a defined issue using coherent analysis of relevant evidence.</w:t>
            </w:r>
          </w:p>
        </w:tc>
      </w:tr>
      <w:tr>
        <w:tc>
          <w:tcPr>
            <w:tcW w:type="dxa" w:w="4680"/>
          </w:tcPr>
          <w:p>
            <w:r/>
            <w:r>
              <w:rPr>
                <w:b w:val="0"/>
              </w:rPr>
              <w:t>Book or turath study</w:t>
            </w:r>
          </w:p>
        </w:tc>
        <w:tc>
          <w:tcPr>
            <w:tcW w:type="dxa" w:w="4680"/>
          </w:tcPr>
          <w:p>
            <w:r/>
            <w:r>
              <w:rPr>
                <w:b w:val="0"/>
              </w:rPr>
              <w:t>A study of a classical book or scholarly work, including its content, method, and contribution.</w:t>
            </w:r>
          </w:p>
        </w:tc>
      </w:tr>
    </w:tbl>
    <w:p>
      <w:pPr>
        <w:pStyle w:val="Judul2"/>
      </w:pPr>
      <w:r>
        <w:t>General Manuscript Requirements</w:t>
      </w:r>
    </w:p>
    <w:tbl>
      <w:tblPr>
        <w:tblStyle w:val="KisiTabel"/>
        <w:tblW w:type="auto" w:w="0"/>
        <w:jc w:val="center"/>
        <w:tblLook w:firstColumn="1" w:firstRow="1" w:lastColumn="0" w:lastRow="0" w:noHBand="0" w:noVBand="1" w:val="04A0"/>
      </w:tblPr>
      <w:tblGrid>
        <w:gridCol w:w="4680"/>
        <w:gridCol w:w="4680"/>
      </w:tblGrid>
      <w:tr>
        <w:trPr>
          <w:tblHeader w:val="true"/>
        </w:trPr>
        <w:tc>
          <w:tcPr>
            <w:tcW w:type="dxa" w:w="4680"/>
          </w:tcPr>
          <w:p>
            <w:r/>
            <w:r>
              <w:rPr>
                <w:b/>
              </w:rPr>
              <w:t>Requirement</w:t>
            </w:r>
          </w:p>
        </w:tc>
        <w:tc>
          <w:tcPr>
            <w:tcW w:type="dxa" w:w="4680"/>
          </w:tcPr>
          <w:p>
            <w:r/>
            <w:r>
              <w:rPr>
                <w:b/>
              </w:rPr>
              <w:t>Details</w:t>
            </w:r>
          </w:p>
        </w:tc>
      </w:tr>
      <w:tr>
        <w:tc>
          <w:tcPr>
            <w:tcW w:type="dxa" w:w="4680"/>
          </w:tcPr>
          <w:p>
            <w:r/>
            <w:r>
              <w:rPr>
                <w:b w:val="0"/>
              </w:rPr>
              <w:t>Language</w:t>
            </w:r>
          </w:p>
        </w:tc>
        <w:tc>
          <w:tcPr>
            <w:tcW w:type="dxa" w:w="4680"/>
          </w:tcPr>
          <w:p>
            <w:r/>
            <w:r>
              <w:rPr>
                <w:b w:val="0"/>
              </w:rPr>
              <w:t>Indonesian, English, or Arabic.</w:t>
            </w:r>
          </w:p>
        </w:tc>
      </w:tr>
      <w:tr>
        <w:tc>
          <w:tcPr>
            <w:tcW w:type="dxa" w:w="4680"/>
          </w:tcPr>
          <w:p>
            <w:r/>
            <w:r>
              <w:rPr>
                <w:b w:val="0"/>
              </w:rPr>
              <w:t>Length</w:t>
            </w:r>
          </w:p>
        </w:tc>
        <w:tc>
          <w:tcPr>
            <w:tcW w:type="dxa" w:w="4680"/>
          </w:tcPr>
          <w:p>
            <w:r/>
            <w:r>
              <w:rPr>
                <w:b w:val="0"/>
              </w:rPr>
              <w:t>5,000–8,000 words including footnotes, excluding the bibliography.</w:t>
            </w:r>
          </w:p>
        </w:tc>
      </w:tr>
      <w:tr>
        <w:tc>
          <w:tcPr>
            <w:tcW w:type="dxa" w:w="4680"/>
          </w:tcPr>
          <w:p>
            <w:r/>
            <w:r>
              <w:rPr>
                <w:b w:val="0"/>
              </w:rPr>
              <w:t>Format</w:t>
            </w:r>
          </w:p>
        </w:tc>
        <w:tc>
          <w:tcPr>
            <w:tcW w:type="dxa" w:w="4680"/>
          </w:tcPr>
          <w:p>
            <w:r/>
            <w:r>
              <w:rPr>
                <w:b w:val="0"/>
              </w:rPr>
              <w:t>Use the TA'SHIL template (.docx), A4 paper, 2.5 cm margins, Times New Roman 12 pt, 1.5 line spacing. Arabic text uses Traditional Arabic 16 pt.</w:t>
            </w:r>
          </w:p>
        </w:tc>
      </w:tr>
      <w:tr>
        <w:tc>
          <w:tcPr>
            <w:tcW w:type="dxa" w:w="4680"/>
          </w:tcPr>
          <w:p>
            <w:r/>
            <w:r>
              <w:rPr>
                <w:b w:val="0"/>
              </w:rPr>
              <w:t>Originality</w:t>
            </w:r>
          </w:p>
        </w:tc>
        <w:tc>
          <w:tcPr>
            <w:tcW w:type="dxa" w:w="4680"/>
          </w:tcPr>
          <w:p>
            <w:r/>
            <w:r>
              <w:rPr>
                <w:b w:val="0"/>
              </w:rPr>
              <w:t>The manuscript has not been published previously and is not under consideration by another journal.</w:t>
            </w:r>
          </w:p>
        </w:tc>
      </w:tr>
      <w:tr>
        <w:tc>
          <w:tcPr>
            <w:tcW w:type="dxa" w:w="4680"/>
          </w:tcPr>
          <w:p>
            <w:r/>
            <w:r>
              <w:rPr>
                <w:b w:val="0"/>
              </w:rPr>
              <w:t>Similarity</w:t>
            </w:r>
          </w:p>
        </w:tc>
        <w:tc>
          <w:tcPr>
            <w:tcW w:type="dxa" w:w="4680"/>
          </w:tcPr>
          <w:p>
            <w:r/>
            <w:r>
              <w:rPr>
                <w:b w:val="0"/>
              </w:rPr>
              <w:t>Maximum 20% (Turnitin), excluding Qur'anic verses, hadith quotations, and the bibliography where appropriate.</w:t>
            </w:r>
          </w:p>
        </w:tc>
      </w:tr>
      <w:tr>
        <w:tc>
          <w:tcPr>
            <w:tcW w:type="dxa" w:w="4680"/>
          </w:tcPr>
          <w:p>
            <w:r/>
            <w:r>
              <w:rPr>
                <w:b w:val="0"/>
              </w:rPr>
              <w:t>References</w:t>
            </w:r>
          </w:p>
        </w:tc>
        <w:tc>
          <w:tcPr>
            <w:tcW w:type="dxa" w:w="4680"/>
          </w:tcPr>
          <w:p>
            <w:r/>
            <w:r>
              <w:rPr>
                <w:b w:val="0"/>
              </w:rPr>
              <w:t>Minimum 20 references. Prioritize primary sources (the Qur'an, hadith collections, and classical Islamic works) and include at least 8 journal articles published within the last 10 years.</w:t>
            </w:r>
          </w:p>
        </w:tc>
      </w:tr>
      <w:tr>
        <w:tc>
          <w:tcPr>
            <w:tcW w:type="dxa" w:w="4680"/>
          </w:tcPr>
          <w:p>
            <w:r/>
            <w:r>
              <w:rPr>
                <w:b w:val="0"/>
              </w:rPr>
              <w:t>Authors</w:t>
            </w:r>
          </w:p>
        </w:tc>
        <w:tc>
          <w:tcPr>
            <w:tcW w:type="dxa" w:w="4680"/>
          </w:tcPr>
          <w:p>
            <w:r>
              <w:t>Maximum 4 authors. Names, affiliations, email addresses, and ORCID identifiers are included in the manuscript according to the template and completed in the OJS metadata.</w:t>
            </w:r>
          </w:p>
        </w:tc>
      </w:tr>
      <w:tr>
        <w:tc>
          <w:tcPr>
            <w:tcW w:type="dxa" w:w="4680"/>
          </w:tcPr>
          <w:p>
            <w:r/>
            <w:r>
              <w:rPr>
                <w:b w:val="0"/>
              </w:rPr>
              <w:t>Generative AI</w:t>
            </w:r>
          </w:p>
        </w:tc>
        <w:tc>
          <w:tcPr>
            <w:tcW w:type="dxa" w:w="4680"/>
          </w:tcPr>
          <w:p>
            <w:r/>
            <w:r>
              <w:rPr>
                <w:b w:val="0"/>
              </w:rPr>
              <w:t>Any use must be disclosed in the Use of Generative AI statement. AI must not be treated as a source for Qur'anic text, hadith, or their translations; all such material must be verified against the mushaf and original sources.</w:t>
            </w:r>
          </w:p>
        </w:tc>
      </w:tr>
    </w:tbl>
    <w:p>
      <w:pPr>
        <w:pStyle w:val="Judul2"/>
      </w:pPr>
      <w:r>
        <w:t>Article Structure</w:t>
      </w:r>
    </w:p>
    <w:p>
      <w:r>
        <w:t>The order of sections follows the TA'SHIL template. Results and Discussion are combined because many Islamic-studies manuscripts are textually and analytically oriented.</w:t>
      </w:r>
    </w:p>
    <w:p>
      <w:pPr>
        <w:pStyle w:val="DaftarParagraf"/>
        <w:ind w:left="403" w:hanging="288"/>
      </w:pPr>
      <w:r>
        <w:t xml:space="preserve">1. </w:t>
      </w:r>
      <w:r>
        <w:t>Title: maximum 20 words and clearly reflects the focus of the study.</w:t>
      </w:r>
    </w:p>
    <w:p>
      <w:pPr>
        <w:pStyle w:val="DaftarParagraf"/>
        <w:ind w:left="403" w:hanging="288"/>
      </w:pPr>
      <w:r>
        <w:t xml:space="preserve">2. </w:t>
      </w:r>
      <w:r>
        <w:t>Abstract (English) and Abstrak (Indonesian): 150–250 words each, covering the objective, method, main findings, and conclusion. Arabic-language articles additionally include a مستخلص.</w:t>
      </w:r>
    </w:p>
    <w:p>
      <w:pPr>
        <w:pStyle w:val="DaftarParagraf"/>
        <w:ind w:left="403" w:hanging="288"/>
      </w:pPr>
      <w:r>
        <w:t xml:space="preserve">3. </w:t>
      </w:r>
      <w:r>
        <w:t>Keywords / Kata Kunci: 3–5 terms separated by semicolons.</w:t>
      </w:r>
    </w:p>
    <w:p>
      <w:pPr>
        <w:pStyle w:val="DaftarParagraf"/>
        <w:ind w:left="403" w:hanging="288"/>
      </w:pPr>
      <w:r>
        <w:t xml:space="preserve">4. </w:t>
      </w:r>
      <w:r>
        <w:t>Introduction: background of the problem, previous studies, the research gap, and the objective.</w:t>
      </w:r>
    </w:p>
    <w:p>
      <w:pPr>
        <w:pStyle w:val="DaftarParagraf"/>
        <w:ind w:left="403" w:hanging="288"/>
      </w:pPr>
      <w:r>
        <w:t xml:space="preserve">5. </w:t>
      </w:r>
      <w:r>
        <w:t>Methods: study approach, primary and secondary sources and their editions, and the analytical technique, such as thematic tafsir (maudhu'i), takhrij and hadith criticism, usul-fiqh inference, historical analysis, or content analysis.</w:t>
      </w:r>
    </w:p>
    <w:p>
      <w:pPr>
        <w:pStyle w:val="DaftarParagraf"/>
        <w:ind w:left="403" w:hanging="288"/>
      </w:pPr>
      <w:r>
        <w:t xml:space="preserve">6. </w:t>
      </w:r>
      <w:r>
        <w:t>Results and Discussion: findings organized into subsections, analysis of textual evidence, and comparison with scholarly opinions and previous studies.</w:t>
      </w:r>
    </w:p>
    <w:p>
      <w:pPr>
        <w:pStyle w:val="DaftarParagraf"/>
        <w:ind w:left="403" w:hanging="288"/>
      </w:pPr>
      <w:r>
        <w:t xml:space="preserve">7. </w:t>
      </w:r>
      <w:r>
        <w:t>Conclusion: directly answers the study objective without introducing new evidence.</w:t>
      </w:r>
    </w:p>
    <w:p>
      <w:pPr>
        <w:pStyle w:val="DaftarParagraf"/>
        <w:ind w:left="403" w:hanging="288"/>
      </w:pPr>
      <w:r>
        <w:t xml:space="preserve">8. </w:t>
      </w:r>
      <w:r>
        <w:t>Statements: Conflict of Interest, Author Contributions, Funding, and Use of Generative AI.</w:t>
      </w:r>
    </w:p>
    <w:p>
      <w:pPr>
        <w:pStyle w:val="DaftarParagraf"/>
        <w:ind w:left="403" w:hanging="288"/>
      </w:pPr>
      <w:r>
        <w:t xml:space="preserve">9. </w:t>
      </w:r>
      <w:r>
        <w:t>Bibliography.</w:t>
      </w:r>
    </w:p>
    <w:p>
      <w:pPr>
        <w:pStyle w:val="Judul2"/>
      </w:pPr>
      <w:r>
        <w:t>Special Requirements for Islamic Studies</w:t>
      </w:r>
    </w:p>
    <w:p>
      <w:r>
        <w:t>Qur'anic Verses. Arabic Qur'anic text must be reproduced accurately with full vowel marks from an authoritative mushaf (preferably the Madinah Mushaf or the Indonesian Standard Mushaf). The Arabic text is followed by a translation and a citation in the format: QS. Surah Name [surah number]: verse. The translation edition used should be identified in the first relevant footnote.</w:t>
      </w:r>
    </w:p>
    <w:p>
      <w:pPr>
        <w:pStyle w:val="Kutipan"/>
        <w:jc w:val="center"/>
      </w:pPr>
      <w:r>
        <w:t>أَلَا بِذِكْرِ اللَّهِ تَطْمَئِنُّ الْقُلُوبُ</w:t>
      </w:r>
    </w:p>
    <w:p>
      <w:pPr>
        <w:pStyle w:val="Kutipan"/>
        <w:jc w:val="center"/>
      </w:pPr>
      <w:r>
        <w:t>“Indeed, in the remembrance of Allah do hearts find rest.” (QS. Ar-Ra'd [13]: 28)</w:t>
      </w:r>
    </w:p>
    <w:p>
      <w:r>
        <w:t>Hadith. The Arabic matn should be written with appropriate vowel marks and followed by a translation. The chain may be abbreviated to the Companion narrator where appropriate. Every hadith must be traceable through a footnote stating the compiler, collection title, edition, volume and page where applicable, hadith number, and grading together with the scholar who provided the grading.</w:t>
      </w:r>
    </w:p>
    <w:p>
      <w:pPr>
        <w:pStyle w:val="DaftarParagraf"/>
        <w:ind w:left="360" w:hanging="216"/>
      </w:pPr>
      <w:r>
        <w:rPr>
          <w:b w:val="0"/>
        </w:rPr>
        <w:t xml:space="preserve">• </w:t>
      </w:r>
      <w:r>
        <w:t>Only sahih and hasan hadith may be used as authoritative evidence.</w:t>
      </w:r>
    </w:p>
    <w:p>
      <w:pPr>
        <w:pStyle w:val="DaftarParagraf"/>
        <w:ind w:left="360" w:hanging="216"/>
      </w:pPr>
      <w:r>
        <w:rPr>
          <w:b w:val="0"/>
        </w:rPr>
        <w:t xml:space="preserve">• </w:t>
      </w:r>
      <w:r>
        <w:t>A weak hadith discussed for analytical purposes must be identified as weak and must not be presented as a basis for a legal ruling.</w:t>
      </w:r>
    </w:p>
    <w:p>
      <w:pPr>
        <w:pStyle w:val="DaftarParagraf"/>
        <w:ind w:left="360" w:hanging="216"/>
      </w:pPr>
      <w:r>
        <w:rPr>
          <w:b w:val="0"/>
        </w:rPr>
        <w:t xml:space="preserve">• </w:t>
      </w:r>
      <w:r>
        <w:t>Example of a takhrij footnote: Muḥammad ibn Ismā‘īl al-Bukhārī, Ṣaḥīḥ al-Bukhārī, ed. Muḥammad Zuhair ibn Nāṣir al-Nāṣir (Beirut: Dār Ṭauq al-Najāh, 1422 H), 1:6, no. 1.</w:t>
      </w:r>
    </w:p>
    <w:p>
      <w:r>
        <w:t>Classical Islamic Sources. Cite the printed edition actually used, including the editor/verifier (muhaqqiq) where available, publisher, city, year, volume, and page. Maktabah al-Shamilah may be used to locate material, but the citation must refer to the identifiable printed edition underlying the text.</w:t>
      </w:r>
    </w:p>
    <w:p>
      <w:r>
        <w:t>Transliteration. Use the Indonesian Arabic-Latin transliteration system based on the Joint Decree of the Minister of Religious Affairs and the Minister of Education and Culture of the Republic of Indonesia No. 158/1987 and No. 0543b/U/1987. Established Indonesian forms should follow standard Indonesian spelling, for example Al-Qur'an, hadis, salat, and fikih.</w:t>
      </w:r>
    </w:p>
    <w:tbl>
      <w:tblPr>
        <w:tblStyle w:val="KisiTabel"/>
        <w:tblW w:type="auto" w:w="0"/>
        <w:jc w:val="center"/>
        <w:tblLook w:firstColumn="1" w:firstRow="1" w:lastColumn="0" w:lastRow="0" w:noHBand="0" w:noVBand="1" w:val="04A0"/>
      </w:tblPr>
      <w:tblGrid>
        <w:gridCol w:w="1560"/>
        <w:gridCol w:w="1560"/>
        <w:gridCol w:w="1560"/>
        <w:gridCol w:w="1560"/>
        <w:gridCol w:w="1560"/>
        <w:gridCol w:w="1560"/>
      </w:tblGrid>
      <w:tr>
        <w:trPr>
          <w:tblHeader w:val="true"/>
        </w:trPr>
        <w:tc>
          <w:tcPr>
            <w:tcW w:type="dxa" w:w="1560"/>
          </w:tcPr>
          <w:p>
            <w:r/>
            <w:r>
              <w:rPr>
                <w:b/>
              </w:rPr>
              <w:t>Arabic</w:t>
            </w:r>
          </w:p>
        </w:tc>
        <w:tc>
          <w:tcPr>
            <w:tcW w:type="dxa" w:w="1560"/>
          </w:tcPr>
          <w:p>
            <w:r/>
            <w:r>
              <w:rPr>
                <w:b/>
              </w:rPr>
              <w:t>Latin</w:t>
            </w:r>
          </w:p>
        </w:tc>
        <w:tc>
          <w:tcPr>
            <w:tcW w:type="dxa" w:w="1560"/>
          </w:tcPr>
          <w:p>
            <w:r/>
            <w:r>
              <w:rPr>
                <w:b/>
              </w:rPr>
              <w:t>Arabic</w:t>
            </w:r>
          </w:p>
        </w:tc>
        <w:tc>
          <w:tcPr>
            <w:tcW w:type="dxa" w:w="1560"/>
          </w:tcPr>
          <w:p>
            <w:r/>
            <w:r>
              <w:rPr>
                <w:b/>
              </w:rPr>
              <w:t>Latin</w:t>
            </w:r>
          </w:p>
        </w:tc>
        <w:tc>
          <w:tcPr>
            <w:tcW w:type="dxa" w:w="1560"/>
          </w:tcPr>
          <w:p>
            <w:r/>
            <w:r>
              <w:rPr>
                <w:b/>
              </w:rPr>
              <w:t>Arabic</w:t>
            </w:r>
          </w:p>
        </w:tc>
        <w:tc>
          <w:tcPr>
            <w:tcW w:type="dxa" w:w="1560"/>
          </w:tcPr>
          <w:p>
            <w:r/>
            <w:r>
              <w:rPr>
                <w:b/>
              </w:rPr>
              <w:t>Latin</w:t>
            </w:r>
          </w:p>
        </w:tc>
      </w:tr>
      <w:tr>
        <w:tc>
          <w:tcPr>
            <w:tcW w:type="dxa" w:w="1560"/>
          </w:tcPr>
          <w:p>
            <w:r/>
            <w:r>
              <w:rPr>
                <w:b w:val="0"/>
              </w:rPr>
              <w:t>ث</w:t>
            </w:r>
          </w:p>
        </w:tc>
        <w:tc>
          <w:tcPr>
            <w:tcW w:type="dxa" w:w="1560"/>
          </w:tcPr>
          <w:p>
            <w:r/>
            <w:r>
              <w:rPr>
                <w:b w:val="0"/>
              </w:rPr>
              <w:t>ṡ</w:t>
            </w:r>
          </w:p>
        </w:tc>
        <w:tc>
          <w:tcPr>
            <w:tcW w:type="dxa" w:w="1560"/>
          </w:tcPr>
          <w:p>
            <w:r/>
            <w:r>
              <w:rPr>
                <w:b w:val="0"/>
              </w:rPr>
              <w:t>ذ</w:t>
            </w:r>
          </w:p>
        </w:tc>
        <w:tc>
          <w:tcPr>
            <w:tcW w:type="dxa" w:w="1560"/>
          </w:tcPr>
          <w:p>
            <w:r/>
            <w:r>
              <w:rPr>
                <w:b w:val="0"/>
              </w:rPr>
              <w:t>ż</w:t>
            </w:r>
          </w:p>
        </w:tc>
        <w:tc>
          <w:tcPr>
            <w:tcW w:type="dxa" w:w="1560"/>
          </w:tcPr>
          <w:p>
            <w:r/>
            <w:r>
              <w:rPr>
                <w:b w:val="0"/>
              </w:rPr>
              <w:t>ض</w:t>
            </w:r>
          </w:p>
        </w:tc>
        <w:tc>
          <w:tcPr>
            <w:tcW w:type="dxa" w:w="1560"/>
          </w:tcPr>
          <w:p>
            <w:r/>
            <w:r>
              <w:rPr>
                <w:b w:val="0"/>
              </w:rPr>
              <w:t>ḍ</w:t>
            </w:r>
          </w:p>
        </w:tc>
      </w:tr>
      <w:tr>
        <w:tc>
          <w:tcPr>
            <w:tcW w:type="dxa" w:w="1560"/>
          </w:tcPr>
          <w:p>
            <w:r/>
            <w:r>
              <w:rPr>
                <w:b w:val="0"/>
              </w:rPr>
              <w:t>ح</w:t>
            </w:r>
          </w:p>
        </w:tc>
        <w:tc>
          <w:tcPr>
            <w:tcW w:type="dxa" w:w="1560"/>
          </w:tcPr>
          <w:p>
            <w:r/>
            <w:r>
              <w:rPr>
                <w:b w:val="0"/>
              </w:rPr>
              <w:t>ḥ</w:t>
            </w:r>
          </w:p>
        </w:tc>
        <w:tc>
          <w:tcPr>
            <w:tcW w:type="dxa" w:w="1560"/>
          </w:tcPr>
          <w:p>
            <w:r/>
            <w:r>
              <w:rPr>
                <w:b w:val="0"/>
              </w:rPr>
              <w:t>ش</w:t>
            </w:r>
          </w:p>
        </w:tc>
        <w:tc>
          <w:tcPr>
            <w:tcW w:type="dxa" w:w="1560"/>
          </w:tcPr>
          <w:p>
            <w:r/>
            <w:r>
              <w:rPr>
                <w:b w:val="0"/>
              </w:rPr>
              <w:t>sy</w:t>
            </w:r>
          </w:p>
        </w:tc>
        <w:tc>
          <w:tcPr>
            <w:tcW w:type="dxa" w:w="1560"/>
          </w:tcPr>
          <w:p>
            <w:r/>
            <w:r>
              <w:rPr>
                <w:b w:val="0"/>
              </w:rPr>
              <w:t>ط</w:t>
            </w:r>
          </w:p>
        </w:tc>
        <w:tc>
          <w:tcPr>
            <w:tcW w:type="dxa" w:w="1560"/>
          </w:tcPr>
          <w:p>
            <w:r/>
            <w:r>
              <w:rPr>
                <w:b w:val="0"/>
              </w:rPr>
              <w:t>ṭ</w:t>
            </w:r>
          </w:p>
        </w:tc>
      </w:tr>
      <w:tr>
        <w:tc>
          <w:tcPr>
            <w:tcW w:type="dxa" w:w="1560"/>
          </w:tcPr>
          <w:p>
            <w:r/>
            <w:r>
              <w:rPr>
                <w:b w:val="0"/>
              </w:rPr>
              <w:t>خ</w:t>
            </w:r>
          </w:p>
        </w:tc>
        <w:tc>
          <w:tcPr>
            <w:tcW w:type="dxa" w:w="1560"/>
          </w:tcPr>
          <w:p>
            <w:r/>
            <w:r>
              <w:rPr>
                <w:b w:val="0"/>
              </w:rPr>
              <w:t>kh</w:t>
            </w:r>
          </w:p>
        </w:tc>
        <w:tc>
          <w:tcPr>
            <w:tcW w:type="dxa" w:w="1560"/>
          </w:tcPr>
          <w:p>
            <w:r/>
            <w:r>
              <w:rPr>
                <w:b w:val="0"/>
              </w:rPr>
              <w:t>ص</w:t>
            </w:r>
          </w:p>
        </w:tc>
        <w:tc>
          <w:tcPr>
            <w:tcW w:type="dxa" w:w="1560"/>
          </w:tcPr>
          <w:p>
            <w:r/>
            <w:r>
              <w:rPr>
                <w:b w:val="0"/>
              </w:rPr>
              <w:t>ṣ</w:t>
            </w:r>
          </w:p>
        </w:tc>
        <w:tc>
          <w:tcPr>
            <w:tcW w:type="dxa" w:w="1560"/>
          </w:tcPr>
          <w:p>
            <w:r/>
            <w:r>
              <w:rPr>
                <w:b w:val="0"/>
              </w:rPr>
              <w:t>ظ</w:t>
            </w:r>
          </w:p>
        </w:tc>
        <w:tc>
          <w:tcPr>
            <w:tcW w:type="dxa" w:w="1560"/>
          </w:tcPr>
          <w:p>
            <w:r/>
            <w:r>
              <w:rPr>
                <w:b w:val="0"/>
              </w:rPr>
              <w:t>ẓ</w:t>
            </w:r>
          </w:p>
        </w:tc>
      </w:tr>
      <w:tr>
        <w:tc>
          <w:tcPr>
            <w:tcW w:type="dxa" w:w="1560"/>
          </w:tcPr>
          <w:p>
            <w:r/>
            <w:r>
              <w:rPr>
                <w:b w:val="0"/>
              </w:rPr>
              <w:t>ع</w:t>
            </w:r>
          </w:p>
        </w:tc>
        <w:tc>
          <w:tcPr>
            <w:tcW w:type="dxa" w:w="1560"/>
          </w:tcPr>
          <w:p>
            <w:r/>
            <w:r>
              <w:rPr>
                <w:b w:val="0"/>
              </w:rPr>
              <w:t>‘</w:t>
            </w:r>
          </w:p>
        </w:tc>
        <w:tc>
          <w:tcPr>
            <w:tcW w:type="dxa" w:w="1560"/>
          </w:tcPr>
          <w:p>
            <w:r/>
            <w:r>
              <w:rPr>
                <w:b w:val="0"/>
              </w:rPr>
              <w:t>غ</w:t>
            </w:r>
          </w:p>
        </w:tc>
        <w:tc>
          <w:tcPr>
            <w:tcW w:type="dxa" w:w="1560"/>
          </w:tcPr>
          <w:p>
            <w:r/>
            <w:r>
              <w:rPr>
                <w:b w:val="0"/>
              </w:rPr>
              <w:t>g</w:t>
            </w:r>
          </w:p>
        </w:tc>
        <w:tc>
          <w:tcPr>
            <w:tcW w:type="dxa" w:w="1560"/>
          </w:tcPr>
          <w:p>
            <w:r/>
            <w:r>
              <w:rPr>
                <w:b w:val="0"/>
              </w:rPr>
              <w:t>ء</w:t>
            </w:r>
          </w:p>
        </w:tc>
        <w:tc>
          <w:tcPr>
            <w:tcW w:type="dxa" w:w="1560"/>
          </w:tcPr>
          <w:p>
            <w:r/>
            <w:r>
              <w:rPr>
                <w:b w:val="0"/>
              </w:rPr>
              <w:t>'</w:t>
            </w:r>
          </w:p>
        </w:tc>
      </w:tr>
    </w:tbl>
    <w:p>
      <w:r>
        <w:t>Long vowels are written ā, ī, ū. Ta marbutah at the end of a word is rendered h. The Arabic definite article ال is written al- in lowercase except where normal capitalization rules apply.</w:t>
      </w:r>
    </w:p>
    <w:p>
      <w:pPr>
        <w:pStyle w:val="Judul2"/>
      </w:pPr>
      <w:r>
        <w:t>Citation and Bibliography</w:t>
      </w:r>
    </w:p>
    <w:p>
      <w:r>
        <w:t>TA'SHIL uses the Chicago Manual of Style, 17th edition, Notes and Bibliography system rather than parenthetical author-date citation. Authors are required to use Zotero or Mendeley with Chicago Manual of Style 17th edition (full note).</w:t>
      </w:r>
    </w:p>
    <w:p>
      <w:pPr>
        <w:pStyle w:val="DaftarParagraf"/>
        <w:ind w:left="360" w:hanging="216"/>
      </w:pPr>
      <w:r>
        <w:rPr>
          <w:b w:val="0"/>
        </w:rPr>
        <w:t xml:space="preserve">• </w:t>
      </w:r>
      <w:r>
        <w:t>The first citation of a source is written in full in a footnote. Subsequent citations use a shortened note (author surname/name, shortened title, page); do not use Ibid.</w:t>
      </w:r>
    </w:p>
    <w:p>
      <w:pPr>
        <w:pStyle w:val="DaftarParagraf"/>
        <w:ind w:left="360" w:hanging="216"/>
      </w:pPr>
      <w:r>
        <w:rPr>
          <w:b w:val="0"/>
        </w:rPr>
        <w:t xml:space="preserve">• </w:t>
      </w:r>
      <w:r>
        <w:t>The bibliography contains only works cited in the manuscript and is arranged alphabetically by surname or the established name of a classical scholar (for example Ibn Kaṡīr or al-Bukhārī). Ignore “al-” for alphabetical ordering.</w:t>
      </w:r>
    </w:p>
    <w:p>
      <w:pPr>
        <w:pStyle w:val="DaftarParagraf"/>
        <w:ind w:left="360" w:hanging="216"/>
      </w:pPr>
      <w:r>
        <w:rPr>
          <w:b w:val="0"/>
        </w:rPr>
        <w:t xml:space="preserve">• </w:t>
      </w:r>
      <w:r>
        <w:t>Include a DOI or URL where available.</w:t>
      </w:r>
    </w:p>
    <w:tbl>
      <w:tblPr>
        <w:tblStyle w:val="KisiTabel"/>
        <w:tblW w:type="auto" w:w="0"/>
        <w:jc w:val="center"/>
        <w:tblLook w:firstColumn="1" w:firstRow="1" w:lastColumn="0" w:lastRow="0" w:noHBand="0" w:noVBand="1" w:val="04A0"/>
      </w:tblPr>
      <w:tblGrid>
        <w:gridCol w:w="3120"/>
        <w:gridCol w:w="3120"/>
        <w:gridCol w:w="3120"/>
      </w:tblGrid>
      <w:tr>
        <w:trPr>
          <w:tblHeader w:val="true"/>
        </w:trPr>
        <w:tc>
          <w:tcPr>
            <w:tcW w:type="dxa" w:w="3120"/>
          </w:tcPr>
          <w:p>
            <w:r/>
            <w:r>
              <w:rPr>
                <w:b/>
              </w:rPr>
              <w:t>Type</w:t>
            </w:r>
          </w:p>
        </w:tc>
        <w:tc>
          <w:tcPr>
            <w:tcW w:type="dxa" w:w="3120"/>
          </w:tcPr>
          <w:p>
            <w:r/>
            <w:r>
              <w:rPr>
                <w:b/>
              </w:rPr>
              <w:t>Footnote</w:t>
            </w:r>
          </w:p>
        </w:tc>
        <w:tc>
          <w:tcPr>
            <w:tcW w:type="dxa" w:w="3120"/>
          </w:tcPr>
          <w:p>
            <w:r/>
            <w:r>
              <w:rPr>
                <w:b/>
              </w:rPr>
              <w:t>Bibliography</w:t>
            </w:r>
          </w:p>
        </w:tc>
      </w:tr>
      <w:tr>
        <w:tc>
          <w:tcPr>
            <w:tcW w:type="dxa" w:w="3120"/>
          </w:tcPr>
          <w:p>
            <w:r/>
            <w:r>
              <w:rPr>
                <w:b w:val="0"/>
              </w:rPr>
              <w:t>Classical book</w:t>
            </w:r>
          </w:p>
        </w:tc>
        <w:tc>
          <w:tcPr>
            <w:tcW w:type="dxa" w:w="3120"/>
          </w:tcPr>
          <w:p>
            <w:r/>
            <w:r>
              <w:rPr>
                <w:b w:val="0"/>
              </w:rPr>
              <w:t>Ismā‘īl ibn ‘Umar ibn Kaṡīr, Tafsīr al-Qur'ān al-‘Aẓīm, ed. Sāmī ibn Muḥammad al-Salāmah (Riyadh: Dār Ṭaibah, 1999), 4:455.</w:t>
            </w:r>
          </w:p>
        </w:tc>
        <w:tc>
          <w:tcPr>
            <w:tcW w:type="dxa" w:w="3120"/>
          </w:tcPr>
          <w:p>
            <w:r/>
            <w:r>
              <w:rPr>
                <w:b w:val="0"/>
              </w:rPr>
              <w:t>Ibn Kaṡīr, Ismā‘īl ibn ‘Umar. Tafsīr al-Qur'ān al-‘Aẓīm. Edited by Sāmī ibn Muḥammad al-Salāmah. Riyadh: Dār Ṭaibah, 1999.</w:t>
            </w:r>
          </w:p>
        </w:tc>
      </w:tr>
      <w:tr>
        <w:tc>
          <w:tcPr>
            <w:tcW w:type="dxa" w:w="3120"/>
          </w:tcPr>
          <w:p>
            <w:r/>
            <w:r>
              <w:rPr>
                <w:b w:val="0"/>
              </w:rPr>
              <w:t>Hadith collection</w:t>
            </w:r>
          </w:p>
        </w:tc>
        <w:tc>
          <w:tcPr>
            <w:tcW w:type="dxa" w:w="3120"/>
          </w:tcPr>
          <w:p>
            <w:r/>
            <w:r>
              <w:rPr>
                <w:b w:val="0"/>
              </w:rPr>
              <w:t>al-Bukhārī, Ṣaḥīḥ al-Bukhārī, 1:6, no. 1. (shortened note)</w:t>
            </w:r>
          </w:p>
        </w:tc>
        <w:tc>
          <w:tcPr>
            <w:tcW w:type="dxa" w:w="3120"/>
          </w:tcPr>
          <w:p>
            <w:r/>
            <w:r>
              <w:rPr>
                <w:b w:val="0"/>
              </w:rPr>
              <w:t>al-Bukhārī, Muḥammad ibn Ismā‘īl. Ṣaḥīḥ al-Bukhārī. Edited by Muḥammad Zuhair ibn Nāṣir al-Nāṣir. Beirut: Dār Ṭauq al-Najāh, 1422 H.</w:t>
            </w:r>
          </w:p>
        </w:tc>
      </w:tr>
      <w:tr>
        <w:tc>
          <w:tcPr>
            <w:tcW w:type="dxa" w:w="3120"/>
          </w:tcPr>
          <w:p>
            <w:r/>
            <w:r>
              <w:rPr>
                <w:b w:val="0"/>
              </w:rPr>
              <w:t>Journal article</w:t>
            </w:r>
          </w:p>
        </w:tc>
        <w:tc>
          <w:tcPr>
            <w:tcW w:type="dxa" w:w="3120"/>
          </w:tcPr>
          <w:p>
            <w:r/>
            <w:r>
              <w:rPr>
                <w:b w:val="0"/>
              </w:rPr>
              <w:t>Author Name, “Article Title,” Journal Name 12, no. 2 (2024): 115–30, https://doi.org/xxxx.</w:t>
            </w:r>
          </w:p>
        </w:tc>
        <w:tc>
          <w:tcPr>
            <w:tcW w:type="dxa" w:w="3120"/>
          </w:tcPr>
          <w:p>
            <w:r/>
            <w:r>
              <w:rPr>
                <w:b w:val="0"/>
              </w:rPr>
              <w:t>Author, Name. “Article Title.” Journal Name 12, no. 2 (2024): 115–30. https://doi.org/xxxx.</w:t>
            </w:r>
          </w:p>
        </w:tc>
      </w:tr>
      <w:tr>
        <w:tc>
          <w:tcPr>
            <w:tcW w:type="dxa" w:w="3120"/>
          </w:tcPr>
          <w:p>
            <w:r/>
            <w:r>
              <w:rPr>
                <w:b w:val="0"/>
              </w:rPr>
              <w:t>Modern book</w:t>
            </w:r>
          </w:p>
        </w:tc>
        <w:tc>
          <w:tcPr>
            <w:tcW w:type="dxa" w:w="3120"/>
          </w:tcPr>
          <w:p>
            <w:r/>
            <w:r>
              <w:rPr>
                <w:b w:val="0"/>
              </w:rPr>
              <w:t>Author Name, Book Title (City: Publisher, 2023), 45.</w:t>
            </w:r>
          </w:p>
        </w:tc>
        <w:tc>
          <w:tcPr>
            <w:tcW w:type="dxa" w:w="3120"/>
          </w:tcPr>
          <w:p>
            <w:r/>
            <w:r>
              <w:rPr>
                <w:b w:val="0"/>
              </w:rPr>
              <w:t>Author, Name. Book Title. City: Publisher, 2023.</w:t>
            </w:r>
          </w:p>
        </w:tc>
      </w:tr>
    </w:tbl>
    <w:p>
      <w:r>
        <w:t>The examples above demonstrate format only; volume and page details must match the edition actually consulted.</w:t>
      </w:r>
    </w:p>
    <w:p>
      <w:pPr>
        <w:pStyle w:val="Judul2"/>
      </w:pPr>
      <w:r>
        <w:t>Submission, Review, Fees, and Copyright</w:t>
      </w:r>
    </w:p>
    <w:p>
      <w:r>
        <w:t>Submission. Manuscripts are submitted through OJS at https://journal.cendekiajurnalhub.com/ using the TA'SHIL template. Author data (name, affiliation, email address, and ORCID) must appear in the manuscript file according to the template and must also be completed in the OJS metadata.</w:t>
      </w:r>
    </w:p>
    <w:p>
      <w:r>
        <w:t>Review process.</w:t>
      </w:r>
    </w:p>
    <w:p>
      <w:pPr>
        <w:pStyle w:val="DaftarParagraf"/>
        <w:ind w:left="403" w:hanging="288"/>
      </w:pPr>
      <w:r>
        <w:t xml:space="preserve">1. </w:t>
      </w:r>
      <w:r>
        <w:t>The Editor-in-Chief checks scope, formatting completeness, and similarity (approximately 1 week).</w:t>
      </w:r>
    </w:p>
    <w:p>
      <w:pPr>
        <w:pStyle w:val="DaftarParagraf"/>
        <w:ind w:left="403" w:hanging="288"/>
      </w:pPr>
      <w:r>
        <w:t>2. Manuscripts that pass screening are sent to at least 2 reviewers for peer review (approximately 4–6 weeks).</w:t>
      </w:r>
    </w:p>
    <w:p>
      <w:pPr>
        <w:pStyle w:val="DaftarParagraf"/>
        <w:ind w:left="403" w:hanging="288"/>
      </w:pPr>
      <w:r>
        <w:t xml:space="preserve">3. </w:t>
      </w:r>
      <w:r>
        <w:t>The decision may be accepted, minor revision, major revision, or rejected. Revised manuscripts should normally be returned within 2 weeks.</w:t>
      </w:r>
    </w:p>
    <w:p>
      <w:pPr>
        <w:pStyle w:val="DaftarParagraf"/>
        <w:ind w:left="403" w:hanging="288"/>
      </w:pPr>
      <w:r>
        <w:t xml:space="preserve">4. </w:t>
      </w:r>
      <w:r>
        <w:t>Accepted manuscripts are edited, laid out, and scheduled for the nearest available issue.</w:t>
      </w:r>
    </w:p>
    <w:p>
      <w:r>
        <w:t>Fees. There is no submission or review fee. The Article Processing Charge (APC) is paid after acceptance: [IDR 100,000; final amount to be determined by the editorial board].</w:t>
      </w:r>
    </w:p>
    <w:p>
      <w:r>
        <w:t>Copyright and License. Authors retain copyright. Articles are published open access under the Creative Commons Attribution-ShareAlike 4.0 (CC BY-SA 4.0) license.</w:t>
      </w:r>
    </w:p>
    <w:p>
      <w:r>
        <w:t>Publication Ethics. Plagiarism, data fabrication, duplicate publication, and citation manipulation may result in manuscript rejection or article retraction.</w:t>
      </w:r>
    </w:p>
    <w:sectPr w:rsidR="00A8162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7672D"/>
    <w:multiLevelType w:val="hybridMultilevel"/>
    <w:tmpl w:val="FFF06852"/>
    <w:lvl w:ilvl="0" w:tplc="B276E31C">
      <w:start w:val="1"/>
      <w:numFmt w:val="decimal"/>
      <w:lvlText w:val="%1."/>
      <w:lvlJc w:val="left"/>
      <w:pPr>
        <w:ind w:left="720" w:hanging="360"/>
      </w:pPr>
    </w:lvl>
    <w:lvl w:ilvl="1" w:tplc="5F3A9B42">
      <w:start w:val="1"/>
      <w:numFmt w:val="lowerLetter"/>
      <w:lvlText w:val="%2."/>
      <w:lvlJc w:val="left"/>
      <w:pPr>
        <w:ind w:left="1440" w:hanging="360"/>
      </w:pPr>
    </w:lvl>
    <w:lvl w:ilvl="2" w:tplc="C1E065DE">
      <w:start w:val="1"/>
      <w:numFmt w:val="lowerRoman"/>
      <w:lvlText w:val="%3."/>
      <w:lvlJc w:val="left"/>
      <w:pPr>
        <w:ind w:left="2160" w:hanging="360"/>
      </w:pPr>
    </w:lvl>
    <w:lvl w:ilvl="3" w:tplc="85128026">
      <w:start w:val="1"/>
      <w:numFmt w:val="decimal"/>
      <w:lvlText w:val="%4."/>
      <w:lvlJc w:val="left"/>
      <w:pPr>
        <w:ind w:left="2880" w:hanging="360"/>
      </w:pPr>
    </w:lvl>
    <w:lvl w:ilvl="4" w:tplc="95B85B10">
      <w:start w:val="1"/>
      <w:numFmt w:val="lowerLetter"/>
      <w:lvlText w:val="%5."/>
      <w:lvlJc w:val="left"/>
      <w:pPr>
        <w:ind w:left="3600" w:hanging="360"/>
      </w:pPr>
    </w:lvl>
    <w:lvl w:ilvl="5" w:tplc="CDF2372E">
      <w:start w:val="1"/>
      <w:numFmt w:val="lowerRoman"/>
      <w:lvlText w:val="%6."/>
      <w:lvlJc w:val="left"/>
      <w:pPr>
        <w:ind w:left="4320" w:hanging="360"/>
      </w:pPr>
    </w:lvl>
    <w:lvl w:ilvl="6" w:tplc="698A4FD4">
      <w:start w:val="1"/>
      <w:numFmt w:val="decimal"/>
      <w:lvlText w:val="%7."/>
      <w:lvlJc w:val="left"/>
      <w:pPr>
        <w:ind w:left="5040" w:hanging="360"/>
      </w:pPr>
    </w:lvl>
    <w:lvl w:ilvl="7" w:tplc="E0968DEE">
      <w:start w:val="1"/>
      <w:numFmt w:val="lowerLetter"/>
      <w:lvlText w:val="%8."/>
      <w:lvlJc w:val="left"/>
      <w:pPr>
        <w:ind w:left="5760" w:hanging="360"/>
      </w:pPr>
    </w:lvl>
    <w:lvl w:ilvl="8" w:tplc="5238C02C">
      <w:start w:val="1"/>
      <w:numFmt w:val="lowerRoman"/>
      <w:lvlText w:val="%9."/>
      <w:lvlJc w:val="left"/>
      <w:pPr>
        <w:ind w:left="6480" w:hanging="360"/>
      </w:pPr>
    </w:lvl>
  </w:abstractNum>
  <w:abstractNum w:abstractNumId="1" w15:restartNumberingAfterBreak="0">
    <w:nsid w:val="74CD2C4C"/>
    <w:multiLevelType w:val="hybridMultilevel"/>
    <w:tmpl w:val="40BA79BC"/>
    <w:lvl w:ilvl="0" w:tplc="908834DA">
      <w:start w:val="1"/>
      <w:numFmt w:val="bullet"/>
      <w:lvlText w:val="•"/>
      <w:lvlJc w:val="left"/>
      <w:pPr>
        <w:ind w:left="720" w:hanging="360"/>
      </w:pPr>
    </w:lvl>
    <w:lvl w:ilvl="1" w:tplc="F8A0CCE6">
      <w:start w:val="1"/>
      <w:numFmt w:val="bullet"/>
      <w:lvlText w:val="o"/>
      <w:lvlJc w:val="left"/>
      <w:pPr>
        <w:ind w:left="1440" w:hanging="360"/>
      </w:pPr>
    </w:lvl>
    <w:lvl w:ilvl="2" w:tplc="43903F90">
      <w:start w:val="1"/>
      <w:numFmt w:val="bullet"/>
      <w:lvlText w:val="▪"/>
      <w:lvlJc w:val="left"/>
      <w:pPr>
        <w:ind w:left="2160" w:hanging="360"/>
      </w:pPr>
    </w:lvl>
    <w:lvl w:ilvl="3" w:tplc="FA680882">
      <w:start w:val="1"/>
      <w:numFmt w:val="bullet"/>
      <w:lvlText w:val="•"/>
      <w:lvlJc w:val="left"/>
      <w:pPr>
        <w:ind w:left="2880" w:hanging="360"/>
      </w:pPr>
    </w:lvl>
    <w:lvl w:ilvl="4" w:tplc="D5304F56">
      <w:start w:val="1"/>
      <w:numFmt w:val="bullet"/>
      <w:lvlText w:val="o"/>
      <w:lvlJc w:val="left"/>
      <w:pPr>
        <w:ind w:left="3600" w:hanging="360"/>
      </w:pPr>
    </w:lvl>
    <w:lvl w:ilvl="5" w:tplc="1966A20E">
      <w:start w:val="1"/>
      <w:numFmt w:val="bullet"/>
      <w:lvlText w:val="▪"/>
      <w:lvlJc w:val="left"/>
      <w:pPr>
        <w:ind w:left="4320" w:hanging="360"/>
      </w:pPr>
    </w:lvl>
    <w:lvl w:ilvl="6" w:tplc="A0BCBC26">
      <w:start w:val="1"/>
      <w:numFmt w:val="bullet"/>
      <w:lvlText w:val="•"/>
      <w:lvlJc w:val="left"/>
      <w:pPr>
        <w:ind w:left="5040" w:hanging="360"/>
      </w:pPr>
    </w:lvl>
    <w:lvl w:ilvl="7" w:tplc="B134B676">
      <w:start w:val="1"/>
      <w:numFmt w:val="bullet"/>
      <w:lvlText w:val="o"/>
      <w:lvlJc w:val="left"/>
      <w:pPr>
        <w:ind w:left="5760" w:hanging="360"/>
      </w:pPr>
    </w:lvl>
    <w:lvl w:ilvl="8" w:tplc="4FACE958">
      <w:start w:val="1"/>
      <w:numFmt w:val="bullet"/>
      <w:lvlText w:val="▪"/>
      <w:lvlJc w:val="left"/>
      <w:pPr>
        <w:ind w:left="6480" w:hanging="360"/>
      </w:pPr>
    </w:lvl>
  </w:abstractNum>
  <w:num w:numId="1" w16cid:durableId="1117870067">
    <w:abstractNumId w:val="1"/>
  </w:num>
  <w:num w:numId="2" w16cid:durableId="260072150">
    <w:abstractNumId w:val="1"/>
  </w:num>
  <w:num w:numId="3" w16cid:durableId="32461902">
    <w:abstractNumId w:val="0"/>
    <w:lvlOverride w:ilvl="0">
      <w:startOverride w:val="1"/>
    </w:lvlOverride>
  </w:num>
  <w:num w:numId="4" w16cid:durableId="1459059769">
    <w:abstractNumId w:val="1"/>
  </w:num>
  <w:num w:numId="5" w16cid:durableId="1755860192">
    <w:abstractNumId w:val="1"/>
  </w:num>
  <w:num w:numId="6" w16cid:durableId="18653612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81625"/>
    <w:rsid w:val="00542265"/>
    <w:rsid w:val="00A81625"/>
    <w:rsid w:val="00F53C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17BA"/>
  <w15:docId w15:val="{6FCA807C-621F-4288-A511-ECBE516F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keepNext/>
      <w:spacing w:before="360" w:after="120"/>
      <w:outlineLvl w:val="0"/>
    </w:pPr>
    <w:rPr>
      <w:b/>
      <w:sz w:val="32"/>
    </w:rPr>
  </w:style>
  <w:style w:type="paragraph" w:styleId="Judul2">
    <w:name w:val="heading 2"/>
    <w:basedOn w:val="Normal"/>
    <w:next w:val="Normal"/>
    <w:uiPriority w:val="9"/>
    <w:unhideWhenUsed/>
    <w:qFormat/>
    <w:pPr>
      <w:keepNext/>
      <w:spacing w:before="280" w:after="100"/>
      <w:outlineLvl w:val="1"/>
    </w:pPr>
    <w:rPr>
      <w:b/>
      <w:sz w:val="26"/>
    </w:rPr>
  </w:style>
  <w:style w:type="paragraph" w:styleId="Judul3">
    <w:name w:val="heading 3"/>
    <w:basedOn w:val="Normal"/>
    <w:next w:val="Normal"/>
    <w:uiPriority w:val="9"/>
    <w:semiHidden/>
    <w:unhideWhenUsed/>
    <w:qFormat/>
    <w:pPr>
      <w:keepNext/>
      <w:spacing w:before="240" w:after="80"/>
      <w:outlineLvl w:val="2"/>
    </w:pPr>
    <w:rPr>
      <w:b/>
      <w:sz w:val="24"/>
    </w:rPr>
  </w:style>
  <w:style w:type="paragraph" w:styleId="Judul4">
    <w:name w:val="heading 4"/>
    <w:basedOn w:val="Normal"/>
    <w:next w:val="Normal"/>
    <w:uiPriority w:val="9"/>
    <w:semiHidden/>
    <w:unhideWhenUsed/>
    <w:qFormat/>
    <w:pPr>
      <w:keepNext/>
      <w:outlineLvl w:val="3"/>
    </w:pPr>
    <w:rPr>
      <w:b/>
    </w:rPr>
  </w:style>
  <w:style w:type="paragraph" w:styleId="Judul5">
    <w:name w:val="heading 5"/>
    <w:basedOn w:val="Normal"/>
    <w:next w:val="Normal"/>
    <w:uiPriority w:val="9"/>
    <w:semiHidden/>
    <w:unhideWhenUsed/>
    <w:qFormat/>
    <w:pPr>
      <w:keepNext/>
      <w:outlineLvl w:val="4"/>
    </w:pPr>
    <w:rPr>
      <w:b/>
    </w:rPr>
  </w:style>
  <w:style w:type="paragraph" w:styleId="Judul6">
    <w:name w:val="heading 6"/>
    <w:basedOn w:val="Normal"/>
    <w:next w:val="Normal"/>
    <w:uiPriority w:val="9"/>
    <w:semiHidden/>
    <w:unhideWhenUsed/>
    <w:qFormat/>
    <w:pPr>
      <w:keepNext/>
      <w:outlineLvl w:val="5"/>
    </w:pPr>
    <w:rPr>
      <w:i/>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uiPriority w:val="10"/>
    <w:qFormat/>
    <w:pPr>
      <w:spacing w:after="80"/>
      <w:contextualSpacing/>
    </w:pPr>
    <w:rPr>
      <w:sz w:val="56"/>
    </w:rPr>
  </w:style>
  <w:style w:type="paragraph" w:styleId="Kutipan">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DaftarParagraf">
    <w:name w:val="List Paragraph"/>
    <w:basedOn w:val="Normal"/>
    <w:qFormat/>
    <w:pPr>
      <w:ind w:left="720"/>
      <w:contextualSpacing/>
    </w:pPr>
  </w:style>
  <w:style w:type="character" w:styleId="Hyperlink">
    <w:name w:val="Hyperlink"/>
    <w:rPr>
      <w:color w:val="0563C1"/>
      <w:u w:val="single"/>
    </w:rPr>
  </w:style>
  <w:style w:type="paragraph" w:styleId="TeksKomentar">
    <w:name w:val="annotation text"/>
    <w:basedOn w:val="Normal"/>
    <w:pPr>
      <w:spacing w:line="240" w:lineRule="auto"/>
    </w:pPr>
    <w:rPr>
      <w:sz w:val="20"/>
      <w:szCs w:val="20"/>
    </w:rPr>
  </w:style>
  <w:style w:type="character" w:styleId="ReferensiKomentar">
    <w:name w:val="annotation reference"/>
    <w:rPr>
      <w:sz w:val="16"/>
      <w:szCs w:val="16"/>
    </w:rPr>
  </w:style>
  <w:style w:type="table" w:styleId="KisiTabel">
    <w:name w:val="Table Grid"/>
    <w:basedOn w:val="Tabel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1109</Words>
  <Characters>6322</Characters>
  <Application>Microsoft Office Word</Application>
  <DocSecurity>0</DocSecurity>
  <Lines>52</Lines>
  <Paragraphs>14</Paragraphs>
  <ScaleCrop>false</ScaleCrop>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 TA'SHIL | Cendekia Journal of Islamic Studies — Bilingual</dc:title>
  <dc:description>Claude Docs node/d47b3099-6a3c@7 docx-w7</dc:description>
  <cp:lastModifiedBy>Nizma Armila</cp:lastModifiedBy>
  <cp:revision>8</cp:revision>
  <dcterms:created xsi:type="dcterms:W3CDTF">2026-10-20T13:51:00Z</dcterms:created>
  <dcterms:modified xsi:type="dcterms:W3CDTF">2026-10-20T13:52:00Z</dcterms:modified>
</cp:coreProperties>
</file>