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5304"/>
        <w:gridCol w:w="2000"/>
      </w:tblGrid>
      <w:tr>
        <w:trPr>
          <w:trHeight w:val="1200" w:hRule="atLeast"/>
          <w:cantSplit/>
          <w:tblHeader/>
        </w:trP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alatino Linotype" w:cs="Palatino Linotype" w:eastAsia="Palatino Linotype" w:hAnsi="Palatino Linotype"/>
                <w:color w:val="808080"/>
                <w:sz w:val="16"/>
                <w:szCs w:val="16"/>
              </w:rPr>
              <w:t xml:space="preserve">Logo</w:t>
            </w:r>
          </w:p>
        </w:tc>
        <w:tc>
          <w:tcPr>
            <w:tcW w:type="dxa" w:w="5304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  <w:tcMar>
              <w:top w:type="dxa" w:w="60"/>
              <w:left w:type="dxa" w:w="240"/>
              <w:bottom w:type="dxa" w:w="60"/>
              <w:right w:type="dxa" w:w="240"/>
            </w:tcMar>
            <w:vAlign w:val="center"/>
          </w:tcPr>
          <w:p>
            <w:r>
              <w:t>QAULAN SADIDA</w:t>
              <w:br/>
              <w:t>Cendekia Journal of Communication, Media, and International Affairs</w:t>
              <w:br/>
              <w:t>Vol. X, No. X (20XX): xx–xx  |  e-ISSN: dalam proses / in process</w:t>
              <w:br/>
              <w:t>https://journal.cendekiajurnalhub.com/  |  DOI: https://doi.org/xxxxx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t>قَوْلًا سَدِيدًا</w:t>
              <w:br/>
              <w:t>QS. Al-Aḥzāb [33]: 70 / Qur’an 33:70</w:t>
            </w:r>
          </w:p>
        </w:tc>
      </w:tr>
    </w:tbl>
    <w:p>
      <w:pPr>
        <w:pBdr>
          <w:bottom w:val="single" w:color="000000" w:sz="4"/>
        </w:pBdr>
        <w:spacing w:after="400"/>
      </w:pPr>
    </w:p>
    <w:p>
      <w:pPr>
        <w:spacing w:after="60" w:before="0" w:line="276"/>
        <w:jc w:val="left"/>
      </w:pPr>
      <w:r>
        <w:rPr>
          <w:b/>
          <w:smallCaps/>
        </w:rPr>
        <w:t>JENIS ARTIKEL / ARTICLE TYPE: ARTIKEL PENELITIAN / RESEARCH ARTICLE</w:t>
      </w:r>
    </w:p>
    <w:p>
      <w:pPr>
        <w:spacing w:after="100" w:before="0" w:line="320"/>
        <w:jc w:val="left"/>
      </w:pPr>
      <w:r>
        <w:t>JUDUL ARTIKEL DENGAN GAGASAN UTAMA DI DEPAN, MAKSIMAL 16 KATA / ARTICLE TITLE WITH THE MAIN IDEA FIRST, MAXIMUM 16 WORDS</w:t>
      </w:r>
    </w:p>
    <w:p>
      <w:pPr>
        <w:spacing w:after="100" w:before="0" w:line="276"/>
        <w:jc w:val="left"/>
      </w:pPr>
      <w:r>
        <w:t>JUDUL DALAM BAHASA INGGRIS / TITLE IN ENGLISH</w:t>
      </w:r>
    </w:p>
    <w:p>
      <w:pPr>
        <w:spacing w:after="200"/>
        <w:ind w:right="0" w:left="0"/>
      </w:pPr>
      <w:r>
        <w:t>NAMA PENULIS / AUTHOR NAME</w:t>
      </w:r>
    </w:p>
    <w:p>
      <w:pPr>
        <w:spacing w:after="60" w:before="0" w:line="276"/>
        <w:jc w:val="left"/>
      </w:pPr>
      <w:r>
        <w:t>Nama Penulis Pertama¹* / First Author¹*  ·  Nama Penulis Kedua² / Second Author²</w:t>
      </w:r>
    </w:p>
    <w:p>
      <w:pPr>
        <w:spacing w:after="0" w:before="0" w:line="276"/>
        <w:jc w:val="left"/>
      </w:pPr>
      <w:r>
        <w:t>AFILIASI PENULIS / AUTHOR AFFILIATION</w:t>
        <w:br/>
        <w:t>¹Program Studi Komunikasi dan Penyiaran Islam, Fakultas, Universitas, Kota, Negara / Islamic Communication and Broadcasting Study Program, Faculty, University, City, Country · email1@domain.com</w:t>
      </w:r>
    </w:p>
    <w:p>
      <w:pPr>
        <w:spacing w:after="0" w:before="0" w:line="276"/>
        <w:jc w:val="left"/>
      </w:pPr>
      <w:r>
        <w:t>²Program Studi Hubungan Internasional, Fakultas, Universitas, Kota, Negara / International Relations Study Program, Faculty, University, City, Country · email2@domain.com</w:t>
      </w:r>
    </w:p>
    <w:p>
      <w:pPr>
        <w:spacing w:after="280" w:before="0" w:line="276"/>
        <w:jc w:val="left"/>
      </w:pPr>
      <w:r>
        <w:t>PENULIS KORESPONDENSI / CORRESPONDING AUTHOR</w:t>
        <w:br/>
        <w:t>*email@domain.com · ORCID: https://orcid.org/0000-0000-0000-0000</w:t>
      </w:r>
    </w:p>
    <w:p>
      <w:pPr>
        <w:spacing w:after="60" w:before="0" w:line="276"/>
        <w:jc w:val="left"/>
      </w:pPr>
      <w:r>
        <w:t>ABSTRAK / INDONESIAN ABSTRACT</w:t>
      </w:r>
    </w:p>
    <w:p>
      <w:pPr>
        <w:spacing w:after="60" w:before="0" w:line="264"/>
        <w:jc w:val="both"/>
      </w:pPr>
      <w:r>
        <w:rPr>
          <w:i/>
        </w:rPr>
        <w:t>[200–250 kata dalam satu paragraf dan ditulis miring: masalah utama, metode, temuan ilmiah, dan kesimpulan. Tanpa sitasi. / 200–250 words in one italicized paragraph: main problem, method, scientific findings, and conclusion. No citations.]</w:t>
      </w:r>
    </w:p>
    <w:p>
      <w:pPr>
        <w:spacing w:after="200" w:before="0" w:line="276"/>
        <w:jc w:val="left"/>
      </w:pPr>
      <w:r>
        <w:t>KATA KUNCI / KEYWORDS (INDONESIA): kata kunci 1; kata kunci 2; kata kunci 3; kata kunci 4 (maksimal 6)</w:t>
      </w:r>
    </w:p>
    <w:p>
      <w:pPr>
        <w:spacing w:after="60" w:before="0" w:line="276"/>
        <w:jc w:val="left"/>
      </w:pPr>
      <w:r>
        <w:t>ABSTRACT / ENGLISH ABSTRACT</w:t>
      </w:r>
    </w:p>
    <w:p>
      <w:pPr>
        <w:spacing w:after="60" w:before="0" w:line="264"/>
        <w:jc w:val="both"/>
      </w:pPr>
      <w:r>
        <w:rPr>
          <w:i/>
        </w:rPr>
        <w:t>[200–250 words in one italicized paragraph: main problem, method, scientific findings, and conclusion. No citations. / 200–250 kata dalam satu paragraf dan ditulis miring: masalah utama, metode, temuan ilmiah, dan kesimpulan. Tanpa sitasi.]</w:t>
      </w:r>
    </w:p>
    <w:p>
      <w:pPr>
        <w:spacing w:after="200" w:before="0" w:line="276"/>
        <w:jc w:val="left"/>
      </w:pPr>
      <w:r>
        <w:t>KEYWORDS: keyword 1; keyword 2; keyword 3; keyword 4 (maximum 6)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52"/>
        <w:gridCol w:w="4252"/>
      </w:tblGrid>
      <w:tr>
        <w:trPr>
          <w:cantSplit/>
          <w:tblHeader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>RIWAYAT ARTIKEL / ARTICLE HISTORY</w:t>
              <w:br/>
              <w:t>Diterima / Received: tanggal / date · Direvisi / Revised: tanggal / date</w:t>
              <w:br/>
              <w:t>Disetujui / Accepted: tanggal / date · Terbit / Published: tanggal / date</w:t>
            </w:r>
          </w:p>
        </w:tc>
        <w:tc>
          <w:tcPr>
            <w:tcW w:type="dxa" w:w="4252"/>
            <w:tcBorders>
              <w:top w:val="none" w:color="FFFFFF" w:sz="0"/>
              <w:left w:val="single" w:color="FFFFFF" w:sz="4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>CARA MENGUTIP / HOW TO CITE</w:t>
              <w:br/>
              <w:t>Penulis / Author, Nama / Name. 20XX. “Judul Artikel / Article Title.” QAULAN SADIDA X (X): xx–xx. https://doi.org/xxxxx.</w:t>
            </w:r>
          </w:p>
        </w:tc>
      </w:tr>
    </w:tbl>
    <w:p>
      <w:pPr>
        <w:spacing w:after="320" w:before="0" w:line="276"/>
        <w:jc w:val="both"/>
      </w:pPr>
      <w:r>
        <w:rPr>
          <w:b/>
          <w:smallCaps/>
        </w:rPr>
        <w:t>PENDAHULUAN / INTRODUCTION</w:t>
      </w:r>
    </w:p>
    <w:p>
      <w:pPr>
        <w:keepNext/>
        <w:spacing w:after="120" w:before="280" w:line="276"/>
        <w:jc w:val="left"/>
      </w:pPr>
      <w:r>
        <w:t>[Paragraf pertama: uraikan latar masalah komunikasi, media, atau hubungan internasional yang diteliti, misalnya pergeseran dakwah ke media sosial atau peran diplomasi pendidikan negara Muslim. Sitasi memakai Chicago author-date, misalnya (Hasan 2024, 45) atau (Hasan dan Rahman 2023). / First paragraph: explain the communication, media, or international-affairs problem, such as the shift of da‘wah to social media or the role of educational diplomacy in Muslim countries. Use Chicago author-date citations, e.g., (Hasan 2024, 45) or (Hasan and Rahman 2023).]</w:t>
      </w:r>
    </w:p>
    <w:p>
      <w:pPr>
        <w:spacing w:after="80" w:before="0" w:line="276"/>
        <w:ind w:firstLine="567"/>
        <w:jc w:val="both"/>
      </w:pPr>
      <w:r>
        <w:t>[Paragraf kedua: sajikan state of the art secara ringkas dan tunjukkan bagian yang belum dijawab penelitian terdahulu. / Second paragraph: summarize the state of the art and identify the aspect not yet answered by previous research.]</w:t>
      </w:r>
    </w:p>
    <w:p>
      <w:pPr>
        <w:spacing w:after="80" w:before="0" w:line="276"/>
        <w:ind w:firstLine="567"/>
        <w:jc w:val="both"/>
      </w:pPr>
      <w:r>
        <w:t>[Paragraf ketiga: nyatakan kebaruan secara eksplisit, misalnya objek, platform, periode, atau pendekatan teoretis yang belum dikaji, serta kontribusinya bagi kajian komunikasi Islam, media, atau hubungan internasional. / Third paragraph: state the novelty explicitly, such as a new object, platform, period, or theoretical approach, and explain its contribution to Islamic communication, media, or international-affairs research.]</w:t>
      </w:r>
    </w:p>
    <w:p>
      <w:pPr>
        <w:spacing w:after="80" w:before="0" w:line="276"/>
        <w:ind w:firstLine="567"/>
        <w:jc w:val="both"/>
      </w:pPr>
      <w:r>
        <w:t>[Paragraf penutup: rumuskan pertanyaan penelitian dan tujuan. Pendahuluan tidak memuat hasil pengamatan. / Final paragraph: state the research question and objective. Do not report findings in the Introduction.]</w:t>
      </w:r>
    </w:p>
    <w:p>
      <w:pPr>
        <w:spacing w:after="80" w:before="0" w:line="276"/>
        <w:ind w:firstLine="567"/>
        <w:jc w:val="both"/>
      </w:pPr>
      <w:r>
        <w:rPr>
          <w:b/>
          <w:smallCaps/>
        </w:rPr>
        <w:t>TINJAUAN PUSTAKA DAN KERANGKA TEORI / LITERATURE REVIEW AND THEORETICAL FRAMEWORK</w:t>
      </w:r>
    </w:p>
    <w:p>
      <w:pPr>
        <w:keepNext/>
        <w:spacing w:after="120" w:before="280" w:line="276"/>
        <w:jc w:val="left"/>
      </w:pPr>
      <w:r>
        <w:rPr>
          <w:b/>
          <w:smallCaps/>
        </w:rPr>
        <w:t>PENELITIAN TERDAHULU / PRIOR RESEARCH</w:t>
      </w:r>
    </w:p>
    <w:p>
      <w:pPr>
        <w:keepNext/>
        <w:spacing w:after="60" w:before="140" w:line="276"/>
        <w:jc w:val="left"/>
      </w:pPr>
      <w:r>
        <w:t>[Kelompokkan penelitian 10 tahun terakhir menurut tema, lalu tegaskan celah yang diisi artikel ini. / Group research from the last 10 years by theme, then identify the gap addressed by this article.]</w:t>
      </w:r>
    </w:p>
    <w:p>
      <w:pPr>
        <w:spacing w:after="80" w:before="0" w:line="276"/>
        <w:ind w:firstLine="567"/>
        <w:jc w:val="both"/>
      </w:pPr>
      <w:r>
        <w:rPr>
          <w:b/>
          <w:smallCaps/>
        </w:rPr>
        <w:t>KERANGKA TEORI / THEORETICAL FRAMEWORK</w:t>
      </w:r>
    </w:p>
    <w:p>
      <w:pPr>
        <w:keepNext/>
        <w:spacing w:after="60" w:before="140" w:line="276"/>
        <w:jc w:val="left"/>
      </w:pPr>
      <w:r>
        <w:t>[Susun teori secara sistematis, misalnya framing, agenda setting, komunikasi krisis situasional, konstruktivisme, soft power, atau diplomasi publik. Kaitkan dengan prinsip komunikasi Qur’ani beserta dalilnya. / Build the theoretical framework systematically using, for example, framing, agenda setting, situational crisis communication, constructivism, soft power, or public diplomacy. Connect it to relevant Qur’anic communication principles.]</w:t>
      </w:r>
    </w:p>
    <w:p>
      <w:pPr>
        <w:bidi/>
        <w:spacing w:after="40" w:before="60" w:line="276"/>
        <w:ind w:left="567" w:right="567"/>
        <w:jc w:val="center"/>
      </w:pPr>
      <w:r>
        <w:rPr>
          <w:rFonts w:ascii="Amiri" w:hAnsi="Amiri"/>
        </w:rPr>
        <w:t>يَا أَيُّهَا الَّذِينَ آمَنُوا اتَّقُوا اللَّهَ وَقُولُوا قَوْلًا سَدِيدًا</w:t>
      </w:r>
      <w:r>
        <w:br/>
        <w:t>“Wahai orang-orang yang beriman, bertakwalah kepada Allah dan ucapkanlah perkataan yang benar.” / “O believers, be mindful of Allah and speak words of truth.” (QS. Al-Aḥzāb [33]: 70 / Qur’an 33:70)</w:t>
      </w:r>
    </w:p>
    <w:p>
      <w:pPr>
        <w:spacing w:after="120" w:before="0" w:line="276"/>
        <w:ind w:left="567" w:right="567"/>
        <w:jc w:val="both"/>
      </w:pPr>
      <w:r>
        <w:rPr>
          <w:b/>
          <w:smallCaps/>
        </w:rPr>
        <w:t>METODE / METHOD</w:t>
      </w:r>
    </w:p>
    <w:p>
      <w:pPr>
        <w:keepNext/>
        <w:spacing w:after="120" w:before="280" w:line="276"/>
        <w:jc w:val="left"/>
      </w:pPr>
      <w:r>
        <w:t>[Jelaskan pendekatan dan rancangan analisis: analisis isi, analisis wacana atau framing, semiotika, studi kasus, survei, atau analisis dokumen kebijakan. / Explain the approach and analytical design: content analysis, discourse or framing analysis, semiotics, case study, survey, or policy-document analysis.]</w:t>
      </w:r>
    </w:p>
    <w:p>
      <w:pPr>
        <w:spacing w:after="80" w:before="0" w:line="276"/>
        <w:ind w:firstLine="567"/>
        <w:jc w:val="both"/>
      </w:pPr>
      <w:r>
        <w:t>[Sebutkan sumber data secara rinci: platform dan akun beserta periode unggahan, informan dan jabatannya, atau dokumen primer dengan nomor resminya. Jelaskan teknik pengumpulan, analisis, dan keabsahan data, termasuk reliabilitas antarpengode untuk analisis isi. / Describe data sources in detail: platform and account with posting period, informants and their positions, or primary documents with official numbers. Explain collection, analysis, and validity/trustworthiness, including inter-coder reliability for content analysis.]</w:t>
      </w:r>
    </w:p>
    <w:p>
      <w:pPr>
        <w:spacing w:after="80" w:before="0" w:line="276"/>
        <w:ind w:firstLine="567"/>
        <w:jc w:val="both"/>
      </w:pPr>
      <w:r>
        <w:t>[Jika data berasal dari media sosial, sajikan korpus dalam tabel seperti Tabel 2 dan sebutkan tanggal pengambilan data serta alat yang digunakan. / If data come from social media, present the corpus in a table such as Table 2 and state the data-collection date and tool used.]</w:t>
      </w:r>
    </w:p>
    <w:p>
      <w:pPr>
        <w:spacing w:after="80" w:before="0" w:line="276"/>
        <w:ind w:firstLine="567"/>
        <w:jc w:val="both"/>
      </w:pPr>
      <w:r>
        <w:t>TABEL / TABLE 2. KORPUS DATA MEDIA SOSIAL / SOCIAL-MEDIA DATA CORPUS</w:t>
      </w:r>
    </w:p>
    <w:p>
      <w:pPr>
        <w:keepNext/>
        <w:spacing w:after="60" w:before="160" w:line="276"/>
        <w:jc w:val="left"/>
      </w:pPr>
      <w:r>
        <w:t>SUMBER / SOURCE: [olahan data penelitian / processed research data; data diambil pada tanggal / data collected on …]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700"/>
        <w:gridCol w:w="2300"/>
        <w:gridCol w:w="2304"/>
      </w:tblGrid>
      <w:tr>
        <w:trPr>
          <w:tblHeader/>
          <w:cantSplit/>
        </w:trPr>
        <w:tc>
          <w:tcPr>
            <w:tcW w:type="dxa" w:w="22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Akun / sumber / Account / source</w:t>
            </w:r>
          </w:p>
        </w:tc>
        <w:tc>
          <w:tcPr>
            <w:tcW w:type="dxa" w:w="17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Platform</w:t>
            </w:r>
          </w:p>
        </w:tc>
        <w:tc>
          <w:tcPr>
            <w:tcW w:type="dxa" w:w="23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Periode unggahan / Posting period</w:t>
            </w:r>
          </w:p>
        </w:tc>
        <w:tc>
          <w:tcPr>
            <w:tcW w:type="dxa" w:w="2304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Jumlah unit / Units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@akunlembaga1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Instagram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Jan–Des 2025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@akunlembaga2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TikTok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Jan–Des 2025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Kanal YouTube X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YouTube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Jan–Des 2025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000000" w:sz="4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dxa" w:w="1700"/>
            <w:tcBorders>
              <w:top w:val="single" w:color="000000" w:sz="4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000000" w:sz="4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Palatino Linotype" w:cs="Palatino Linotype" w:eastAsia="Palatino Linotype" w:hAnsi="Palatino Linotype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4"/>
            <w:tcBorders>
              <w:top w:val="single" w:color="000000" w:sz="4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</w:tr>
    </w:tbl>
    <w:p>
      <w:pPr>
        <w:spacing w:after="120" w:before="40" w:line="276"/>
        <w:jc w:val="left"/>
      </w:pPr>
      <w:r>
        <w:t>[Untuk riset hubungan internasional, rujuk dokumen primer dengan nomor resminya, misalnya resolusi Majelis Umum PBB, pernyataan pers kementerian luar negeri, atau naskah perjanjian, lalu jelaskan cara dokumen itu dianalisis. / For international-affairs research, cite primary documents using official document numbers, such as UN General Assembly resolutions, foreign-ministry press releases, or treaties, and explain how the documents were analyzed.]</w:t>
      </w:r>
    </w:p>
    <w:p>
      <w:pPr>
        <w:spacing w:after="80" w:before="0" w:line="276"/>
        <w:ind w:firstLine="567"/>
        <w:jc w:val="both"/>
      </w:pPr>
      <w:r>
        <w:rPr>
          <w:b/>
          <w:smallCaps/>
        </w:rPr>
        <w:t>HASIL DAN PEMBAHASAN / RESULTS AND DISCUSSION</w:t>
      </w:r>
    </w:p>
    <w:p>
      <w:pPr>
        <w:keepNext/>
        <w:spacing w:after="120" w:before="280" w:line="276"/>
        <w:jc w:val="left"/>
      </w:pPr>
      <w:r>
        <w:rPr>
          <w:b/>
          <w:smallCaps/>
        </w:rPr>
        <w:t>SUBJUDUL TEMUAN PERTAMA / FIRST FINDING SUBHEADING</w:t>
      </w:r>
    </w:p>
    <w:p>
      <w:pPr>
        <w:keepNext/>
        <w:spacing w:after="60" w:before="140" w:line="276"/>
        <w:jc w:val="left"/>
      </w:pPr>
      <w:r>
        <w:t>[Sajikan temuan dengan penjelasan ilmiah, bukan sekadar deskripsi. Rujuk setiap tabel dan gambar di dalam teks, misalnya Tabel 1. / Present findings with scientific explanation, not description alone. Refer to each table and figure in the text, e.g., Table 1.]</w:t>
      </w:r>
    </w:p>
    <w:p>
      <w:pPr>
        <w:spacing w:after="80" w:before="0" w:line="276"/>
        <w:ind w:firstLine="567"/>
        <w:jc w:val="both"/>
      </w:pPr>
      <w:r>
        <w:t>TABEL / TABLE 1. KATEGORI PESAN DAKWAH DAN RELIABILITAS ANTARPENGODE / DA‘WAH MESSAGE CATEGORIES AND INTER-CODER RELIABILITY</w:t>
      </w:r>
    </w:p>
    <w:p>
      <w:pPr>
        <w:keepNext/>
        <w:spacing w:after="60" w:before="160" w:line="276"/>
        <w:jc w:val="left"/>
      </w:pPr>
      <w:r>
        <w:t>SUMBER / SOURCE: [olahan data penelitian / processed research data, 20XX]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00"/>
        <w:gridCol w:w="1100"/>
        <w:gridCol w:w="1904"/>
      </w:tblGrid>
      <w:tr>
        <w:trPr>
          <w:tblHeader/>
          <w:cantSplit/>
        </w:trPr>
        <w:tc>
          <w:tcPr>
            <w:tcW w:type="dxa" w:w="20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Kategori / Category</w:t>
            </w:r>
          </w:p>
        </w:tc>
        <w:tc>
          <w:tcPr>
            <w:tcW w:type="dxa" w:w="35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Definisi operasional / Operational definition</w:t>
            </w:r>
          </w:p>
        </w:tc>
        <w:tc>
          <w:tcPr>
            <w:tcW w:type="dxa" w:w="11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n (%)</w:t>
            </w:r>
          </w:p>
        </w:tc>
        <w:tc>
          <w:tcPr>
            <w:tcW w:type="dxa" w:w="1904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Krippendorff's α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Qaulan sadīdā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Pesan jujur dan sesuai fakta / Truthful and factually accurate message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  <w:tc>
          <w:tcPr>
            <w:tcW w:type="dxa" w:w="1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Qaulan balīghā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Pesan lugas dan menyentuh / Clear and compelling message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  <w:tc>
          <w:tcPr>
            <w:tcW w:type="dxa" w:w="1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Qaulan layyinā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Pesan lembut dan santun / Gentle and courteous message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  <w:tc>
          <w:tcPr>
            <w:tcW w:type="dxa" w:w="1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Qaulan ma‘rūfā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Pesan baik dan pantas / Good and appropriate message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  <w:tc>
          <w:tcPr>
            <w:tcW w:type="dxa" w:w="1904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Palatino Linotype" w:cs="Palatino Linotype" w:eastAsia="Palatino Linotype" w:hAnsi="Palatino Linotype"/>
                <w:sz w:val="18"/>
                <w:szCs w:val="18"/>
              </w:rPr>
              <w:t xml:space="preserve">…</w:t>
            </w:r>
          </w:p>
        </w:tc>
      </w:tr>
    </w:tbl>
    <w:p>
      <w:pPr>
        <w:spacing w:after="160" w:before="40" w:line="276"/>
        <w:jc w:val="left"/>
      </w:pPr>
      <w:r>
        <w:rPr>
          <w:b/>
          <w:smallCaps/>
        </w:rPr>
        <w:t>SUBJUDUL TEMUAN KEDUA / SECOND FINDING SUBHEADING</w:t>
      </w:r>
    </w:p>
    <w:p>
      <w:pPr>
        <w:keepNext/>
        <w:spacing w:after="60" w:before="140" w:line="276"/>
        <w:jc w:val="left"/>
      </w:pPr>
      <w:r>
        <w:t>[Untuk data wawancara, tampilkan kutipan informan secara miring dengan jabatan dan tanggal wawancara, misalnya: / For interview data, present the quotation in italics with the informant’s role and interview date, e.g.:]</w:t>
      </w:r>
    </w:p>
    <w:p>
      <w:pPr>
        <w:spacing w:after="80" w:before="0" w:line="276"/>
        <w:ind w:firstLine="567"/>
        <w:jc w:val="both"/>
      </w:pPr>
      <w:r>
        <w:rPr>
          <w:i/>
        </w:rPr>
        <w:t>“Kami selalu memverifikasi informasi sebelum mengunggahnya ke akun resmi lembaga.” / “We always verify information before posting it on the institution’s official account.” (Kepala Humas Lembaga X / Head of Public Relations, wawancara / interview, 12 Maret / March 2026)</w:t>
      </w:r>
    </w:p>
    <w:p>
      <w:pPr>
        <w:pBdr>
          <w:left w:val="single" w:color="999999" w:sz="12"/>
        </w:pBdr>
        <w:spacing w:after="120" w:before="0" w:line="276"/>
        <w:ind w:left="567" w:right="567"/>
        <w:jc w:val="both"/>
      </w:pPr>
      <w:r>
        <w:t>[Bandingkan temuan dengan penelitian lain, jelaskan perbedaannya, dan jawab pertanyaan penelitian. / Compare findings with previous research, explain differences, and answer the research question.]</w:t>
      </w:r>
    </w:p>
    <w:p>
      <w:pPr>
        <w:spacing w:after="80" w:before="0" w:line="276"/>
        <w:ind w:firstLine="567"/>
        <w:jc w:val="both"/>
      </w:pPr>
      <w:r>
        <w:rPr>
          <w:b/>
          <w:smallCaps/>
        </w:rPr>
        <w:t>SUBJUDUL TEMUAN KETIGA / THIRD FINDING SUBHEADING</w:t>
      </w:r>
    </w:p>
    <w:p>
      <w:pPr>
        <w:keepNext/>
        <w:spacing w:after="60" w:before="140" w:line="276"/>
        <w:jc w:val="left"/>
      </w:pPr>
      <w:r>
        <w:t>[Kaitkan temuan dengan prinsip tabayyun (QS. Al-Ḥujurāt [49]: 6) bila membahas verifikasi informasi, hoaks, atau etika bermedia. Tafsir dirujuk dari kitab tafsir yang diakui, misalnya (Ibnu Katsir 1999, 6:370). / Relate findings to the principle of tabayyun (Qur’an 49:6) when discussing verification, misinformation, or media ethics. Cite recognized tafsir works, e.g., (Ibn Kathir 1999, 6:370).]</w:t>
      </w:r>
    </w:p>
    <w:p>
      <w:pPr>
        <w:spacing w:after="80" w:before="0" w:line="276"/>
        <w:ind w:firstLine="567"/>
        <w:jc w:val="both"/>
      </w:pPr>
      <w:r>
        <w:t>[Tangkapan layar boleh disertakan sebagai gambar dengan mencantumkan platform, akun, dan tanggal unggah. Akun tokoh publik dan lembaga resmi boleh ditampilkan; akun pengguna biasa wajib disamarkan. / Screenshots may be included with the platform, account, and posting date. Public-figure and official institutional accounts may be shown; ordinary users must be anonymized.]</w:t>
      </w:r>
    </w:p>
    <w:p>
      <w:pPr>
        <w:spacing w:after="60" w:before="0" w:line="276"/>
        <w:jc w:val="both"/>
      </w:pPr>
      <w:r>
        <w:t>GAMBAR / FIGURE 1. KETERANGAN GAMBAR, TERMASUK PLATFORM, AKUN, DAN TANGGAL UNGGAH / FIGURE CAPTION INCLUDING PLATFORM, ACCOUNT, AND POSTING DATE</w:t>
      </w:r>
    </w:p>
    <w:tbl>
      <w:tblPr>
        <w:tblW w:type="dxa" w:w="6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</w:tblGrid>
      <w:tr>
        <w:trPr>
          <w:trHeight w:val="1800" w:hRule="atLeast"/>
          <w:cantSplit/>
          <w:tblHeader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t>[Sisipkan gambar atau tangkapan layar di sini. Samarkan nama, foto profil, dan data pribadi pengguna biasa. / Insert figure or screenshot here. Anonymize names, profile photos, and personal data of ordinary users.]</w:t>
            </w:r>
          </w:p>
        </w:tc>
      </w:tr>
    </w:tbl>
    <w:p>
      <w:pPr>
        <w:spacing w:after="160" w:before="60" w:line="276"/>
        <w:jc w:val="center"/>
      </w:pPr>
      <w:r>
        <w:rPr>
          <w:b/>
          <w:smallCaps/>
        </w:rPr>
        <w:t>KESIMPULAN / CONCLUSION</w:t>
      </w:r>
    </w:p>
    <w:p>
      <w:pPr>
        <w:keepNext/>
        <w:spacing w:after="120" w:before="280" w:line="276"/>
        <w:jc w:val="left"/>
      </w:pPr>
      <w:r>
        <w:t>[Jawab pertanyaan atau tujuan penelitian tanpa mengulang hasil. Sampaikan implikasi bagi praktisi humas, lembaga dakwah, media, atau pembuat kebijakan, lalu arah penelitian lanjutan. / Answer the research question or objective without repeating the results. State implications for public-relations practitioners, da‘wah institutions, media, or policymakers, and identify future-research directions.]</w:t>
      </w:r>
    </w:p>
    <w:p>
      <w:pPr>
        <w:spacing w:after="80" w:before="0" w:line="276"/>
        <w:ind w:firstLine="567"/>
        <w:jc w:val="both"/>
      </w:pPr>
      <w:r>
        <w:rPr>
          <w:b/>
          <w:smallCaps/>
        </w:rPr>
        <w:t>PERNYATAAN PENULIS / AUTHOR STATEMENTS</w:t>
      </w:r>
    </w:p>
    <w:p>
      <w:pPr>
        <w:keepNext/>
        <w:spacing w:after="120" w:before="280" w:line="276"/>
        <w:jc w:val="left"/>
      </w:pPr>
      <w:r>
        <w:t>Kontribusi penulis / Author contributions: [peran tiap penulis / each author’s role]. Pendanaan / Funding: [sumber dana atau tidak ada / funding source or none]. Konflik kepentingan / Conflict of interest: [ada atau tidak ada / disclose or state none]. Penggunaan AI generatif / Generative AI use: [alat, versi, dan bagian yang dibantu, atau tidak memakai / tool, version, and assisted sections, or state no use].</w:t>
      </w:r>
    </w:p>
    <w:p>
      <w:pPr>
        <w:spacing w:after="80" w:before="0" w:line="276"/>
        <w:jc w:val="both"/>
      </w:pPr>
      <w:r>
        <w:rPr>
          <w:b/>
          <w:smallCaps/>
        </w:rPr>
        <w:t>REFERENSI / REFERENCES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Coombs, W. Timothy. 2023. </w:t>
      </w:r>
      <w:r>
        <w:rPr>
          <w:rFonts w:ascii="Palatino Linotype" w:cs="Palatino Linotype" w:eastAsia="Palatino Linotype" w:hAnsi="Palatino Linotype"/>
          <w:i/>
          <w:iCs/>
          <w:sz w:val="20"/>
          <w:szCs w:val="20"/>
        </w:rPr>
        <w:t xml:space="preserve">Ongoing Crisis Communication: Planning, Managing, and Responding</w:t>
      </w:r>
      <w:r>
        <w:rPr>
          <w:rFonts w:ascii="Palatino Linotype" w:cs="Palatino Linotype" w:eastAsia="Palatino Linotype" w:hAnsi="Palatino Linotype"/>
          <w:sz w:val="20"/>
          <w:szCs w:val="20"/>
        </w:rPr>
        <w:t xml:space="preserve">. Edisi ke-6. Thousand Oaks: SAGE.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Hasan, Ahmad, dan Budi Rahman. 2023. “Judul Artikel.” </w:t>
      </w:r>
      <w:r>
        <w:rPr>
          <w:rFonts w:ascii="Palatino Linotype" w:cs="Palatino Linotype" w:eastAsia="Palatino Linotype" w:hAnsi="Palatino Linotype"/>
          <w:i/>
          <w:iCs/>
          <w:sz w:val="20"/>
          <w:szCs w:val="20"/>
        </w:rPr>
        <w:t xml:space="preserve">Nama Jurnal</w:t>
      </w:r>
      <w:r>
        <w:rPr>
          <w:rFonts w:ascii="Palatino Linotype" w:cs="Palatino Linotype" w:eastAsia="Palatino Linotype" w:hAnsi="Palatino Linotype"/>
          <w:sz w:val="20"/>
          <w:szCs w:val="20"/>
        </w:rPr>
        <w:t xml:space="preserve"> 7 (1): 45–60. https://doi.org/xxxxx.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Ibnu Katsir, Ismāʿīl ibn ʿUmar. 1999. </w:t>
      </w:r>
      <w:r>
        <w:rPr>
          <w:rFonts w:ascii="Palatino Linotype" w:cs="Palatino Linotype" w:eastAsia="Palatino Linotype" w:hAnsi="Palatino Linotype"/>
          <w:i/>
          <w:iCs/>
          <w:sz w:val="20"/>
          <w:szCs w:val="20"/>
        </w:rPr>
        <w:t xml:space="preserve">Tafsīr al-Qurʾān al-ʿAẓīm</w:t>
      </w:r>
      <w:r>
        <w:rPr>
          <w:rFonts w:ascii="Palatino Linotype" w:cs="Palatino Linotype" w:eastAsia="Palatino Linotype" w:hAnsi="Palatino Linotype"/>
          <w:sz w:val="20"/>
          <w:szCs w:val="20"/>
        </w:rPr>
        <w:t xml:space="preserve">. Disunting oleh Sāmī ibn Muḥammad Salāmah. Riyadh: Dār Ṭaybah.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Kementerian Luar Negeri Republik Indonesia. 2025. “Judul Siaran Pers.” Siaran pers, 10 Januari 2025. https://kemlu.go.id/xxxxx.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Krippendorff, Klaus. 2019. </w:t>
      </w:r>
      <w:r>
        <w:rPr>
          <w:rFonts w:ascii="Palatino Linotype" w:cs="Palatino Linotype" w:eastAsia="Palatino Linotype" w:hAnsi="Palatino Linotype"/>
          <w:i/>
          <w:iCs/>
          <w:sz w:val="20"/>
          <w:szCs w:val="20"/>
        </w:rPr>
        <w:t xml:space="preserve">Content Analysis: An Introduction to Its Methodology</w:t>
      </w:r>
      <w:r>
        <w:rPr>
          <w:rFonts w:ascii="Palatino Linotype" w:cs="Palatino Linotype" w:eastAsia="Palatino Linotype" w:hAnsi="Palatino Linotype"/>
          <w:sz w:val="20"/>
          <w:szCs w:val="20"/>
        </w:rPr>
        <w:t xml:space="preserve">. Edisi ke-4. Thousand Oaks: SAGE. https://doi.org/10.4135/9781071878781.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Nama Akun (@namaakun). 2025. “Kalimat awal unggahan …” Instagram, 5 Mei 2025. https://xxxxx.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Penulis, Nama. 2023. </w:t>
      </w:r>
      <w:r>
        <w:rPr>
          <w:rFonts w:ascii="Palatino Linotype" w:cs="Palatino Linotype" w:eastAsia="Palatino Linotype" w:hAnsi="Palatino Linotype"/>
          <w:i/>
          <w:iCs/>
          <w:sz w:val="20"/>
          <w:szCs w:val="20"/>
        </w:rPr>
        <w:t xml:space="preserve">Judul Buku</w:t>
      </w:r>
      <w:r>
        <w:rPr>
          <w:rFonts w:ascii="Palatino Linotype" w:cs="Palatino Linotype" w:eastAsia="Palatino Linotype" w:hAnsi="Palatino Linotype"/>
          <w:sz w:val="20"/>
          <w:szCs w:val="20"/>
        </w:rPr>
        <w:t xml:space="preserve">. Kota: Penerbit.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Penulis, Nama. 2025. “Judul Berita.” </w:t>
      </w:r>
      <w:r>
        <w:rPr>
          <w:rFonts w:ascii="Palatino Linotype" w:cs="Palatino Linotype" w:eastAsia="Palatino Linotype" w:hAnsi="Palatino Linotype"/>
          <w:i/>
          <w:iCs/>
          <w:sz w:val="20"/>
          <w:szCs w:val="20"/>
        </w:rPr>
        <w:t xml:space="preserve">Nama Media</w:t>
      </w:r>
      <w:r>
        <w:rPr>
          <w:rFonts w:ascii="Palatino Linotype" w:cs="Palatino Linotype" w:eastAsia="Palatino Linotype" w:hAnsi="Palatino Linotype"/>
          <w:sz w:val="20"/>
          <w:szCs w:val="20"/>
        </w:rPr>
        <w:t xml:space="preserve">, 12 Maret 2025. https://xxxxx.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Penulis, Nama. 2024. “Judul Bab.” Dalam </w:t>
      </w:r>
      <w:r>
        <w:rPr>
          <w:rFonts w:ascii="Palatino Linotype" w:cs="Palatino Linotype" w:eastAsia="Palatino Linotype" w:hAnsi="Palatino Linotype"/>
          <w:i/>
          <w:iCs/>
          <w:sz w:val="20"/>
          <w:szCs w:val="20"/>
        </w:rPr>
        <w:t xml:space="preserve">Judul Buku Suntingan</w:t>
      </w:r>
      <w:r>
        <w:rPr>
          <w:rFonts w:ascii="Palatino Linotype" w:cs="Palatino Linotype" w:eastAsia="Palatino Linotype" w:hAnsi="Palatino Linotype"/>
          <w:sz w:val="20"/>
          <w:szCs w:val="20"/>
        </w:rPr>
        <w:t xml:space="preserve">, disunting oleh Nama Editor, 101–20. Kota: Penerbit.</w:t>
      </w:r>
    </w:p>
    <w:p>
      <w:pPr>
        <w:spacing w:after="60" w:line="252"/>
        <w:ind w:left="567" w:hanging="567"/>
        <w:jc w:val="left"/>
      </w:pPr>
      <w:r>
        <w:rPr>
          <w:rFonts w:ascii="Palatino Linotype" w:cs="Palatino Linotype" w:eastAsia="Palatino Linotype" w:hAnsi="Palatino Linotype"/>
          <w:sz w:val="20"/>
          <w:szCs w:val="20"/>
        </w:rPr>
        <w:t xml:space="preserve">United Nations General Assembly. 2023. </w:t>
      </w:r>
      <w:r>
        <w:rPr>
          <w:rFonts w:ascii="Palatino Linotype" w:cs="Palatino Linotype" w:eastAsia="Palatino Linotype" w:hAnsi="Palatino Linotype"/>
          <w:i/>
          <w:iCs/>
          <w:sz w:val="20"/>
          <w:szCs w:val="20"/>
        </w:rPr>
        <w:t xml:space="preserve">Judul Resolusi</w:t>
      </w:r>
      <w:r>
        <w:rPr>
          <w:rFonts w:ascii="Palatino Linotype" w:cs="Palatino Linotype" w:eastAsia="Palatino Linotype" w:hAnsi="Palatino Linotype"/>
          <w:sz w:val="20"/>
          <w:szCs w:val="20"/>
        </w:rPr>
        <w:t xml:space="preserve">. A/RES/78/xx. https://xxxxx.</w:t>
      </w:r>
    </w:p>
    <w:sectPr>
      <w:headerReference w:type="default" r:id="rId7"/>
      <w:headerReference w:type="first" r:id="rId8"/>
      <w:footerReference w:type="default" r:id="rId9"/>
      <w:footerReference w:type="first" r:id="rId10"/>
      <w:headerReference w:type="even" r:id="rId12"/>
      <w:footerReference w:type="even" r:id="rId13"/>
      <w:pgSz w:w="11906" w:h="16838" w:orient="portrait"/>
      <w:pgMar w:top="1701" w:right="1701" w:bottom="1701" w:left="1701" w:header="850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</w:rPr>
      <w:t>QAULAN SADIDA: Cendekia Journal of Communication, Media, and International Affairs | Open access under CC BY-SA 4.0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Palatino Linotype" w:cs="Palatino Linotype" w:eastAsia="Palatino Linotype" w:hAnsi="Palatino Linotype"/>
        <w:color w:val="555555"/>
        <w:sz w:val="15"/>
        <w:szCs w:val="15"/>
      </w:rPr>
      <w:t xml:space="preserve">© 20XX Penulis. Artikel akses terbuka di bawah lisensi CC BY-SA 4.0.</w:t>
    </w:r>
  </w:p>
  <w:p>
    <w:pPr>
      <w:jc w:val="center"/>
    </w:pPr>
    <w:r>
      <w:rPr>
        <w:rFonts w:ascii="Palatino Linotype" w:cs="Palatino Linotype" w:eastAsia="Palatino Linotype" w:hAnsi="Palatino Linotype"/>
        <w:sz w:val="18"/>
        <w:szCs w:val="18"/>
      </w:rPr>
      <w:t xml:space="preserve">— </w:t>
      <w:fldChar w:fldCharType="begin"/>
      <w:instrText xml:space="preserve">PAGE</w:instrText>
      <w:fldChar w:fldCharType="separate"/>
      <w:fldChar w:fldCharType="end"/>
      <w:t xml:space="preserve"> —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  <w:jc w:val="right"/>
    </w:pPr>
    <w:r>
      <w:t>QAULAN SADIDA  ·  Vol. X, No. X (20XX)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alatino Linotype" w:cs="Palatino Linotype" w:eastAsia="Palatino Linotype" w:hAnsi="Palatino Linotyp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Relationship Id="rId12" Type="http://schemas.openxmlformats.org/officeDocument/2006/relationships/header" Target="header3.xml"/><Relationship Id="rId13" Type="http://schemas.openxmlformats.org/officeDocument/2006/relationships/footer" Target="footer3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TEMPLATE — QAULAN SADIDA | Cendekia Journal of Communication, Media, and International Affairs</dc:title>
  <dc:creator>Cendekia Journal Hub</dc:creator>
  <cp:lastModifiedBy>Un-named</cp:lastModifiedBy>
  <cp:revision>1</cp:revision>
  <dcterms:created xsi:type="dcterms:W3CDTF">2026-10-20T15:17:40.873Z</dcterms:created>
  <dcterms:modified xsi:type="dcterms:W3CDTF">2026-10-20T15:17:40.873Z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